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3C09" w14:textId="77777777" w:rsidR="00823FE2" w:rsidRDefault="003F093F">
      <w:pPr>
        <w:pStyle w:val="berschrift1"/>
        <w:spacing w:before="720" w:after="720" w:line="260" w:lineRule="exact"/>
        <w:rPr>
          <w:sz w:val="20"/>
        </w:rPr>
      </w:pPr>
      <w:r>
        <w:rPr>
          <w:sz w:val="20"/>
        </w:rPr>
        <w:t>COMMUNIQUÉ DE PRESSE</w:t>
      </w:r>
    </w:p>
    <w:p w14:paraId="2A1BDA2C" w14:textId="77777777" w:rsidR="00823FE2" w:rsidRDefault="003F093F">
      <w:pPr>
        <w:pStyle w:val="Kopfzeile"/>
        <w:tabs>
          <w:tab w:val="clear" w:pos="4536"/>
          <w:tab w:val="clear" w:pos="9072"/>
        </w:tabs>
        <w:spacing w:before="120" w:after="120" w:line="360" w:lineRule="exact"/>
        <w:outlineLvl w:val="0"/>
        <w:rPr>
          <w:rFonts w:ascii="Arial" w:hAnsi="Arial" w:cs="Arial"/>
          <w:b/>
          <w:bCs/>
        </w:rPr>
      </w:pPr>
      <w:r>
        <w:rPr>
          <w:rFonts w:ascii="Arial" w:hAnsi="Arial"/>
          <w:b/>
        </w:rPr>
        <w:t>Inducteur à fil plat CMS pour l’électronique automobile</w:t>
      </w:r>
    </w:p>
    <w:p w14:paraId="098D869B" w14:textId="77777777" w:rsidR="00823FE2" w:rsidRDefault="003F093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Fil plat et haute efficacité</w:t>
      </w:r>
    </w:p>
    <w:p w14:paraId="157199C4" w14:textId="2902418C" w:rsidR="00823FE2" w:rsidRDefault="003F093F">
      <w:pPr>
        <w:pStyle w:val="Textkrper"/>
        <w:spacing w:before="120" w:after="120" w:line="260" w:lineRule="exact"/>
        <w:jc w:val="both"/>
        <w:rPr>
          <w:rFonts w:ascii="Arial" w:hAnsi="Arial"/>
          <w:color w:val="000000"/>
        </w:rPr>
      </w:pPr>
      <w:r>
        <w:rPr>
          <w:rFonts w:ascii="Arial" w:hAnsi="Arial"/>
          <w:color w:val="000000"/>
        </w:rPr>
        <w:t>Waldenburg</w:t>
      </w:r>
      <w:r w:rsidR="009D05F0">
        <w:rPr>
          <w:rFonts w:ascii="Arial" w:hAnsi="Arial"/>
          <w:color w:val="000000"/>
        </w:rPr>
        <w:t xml:space="preserve"> (Allemagne)</w:t>
      </w:r>
      <w:r>
        <w:rPr>
          <w:rFonts w:ascii="Arial" w:hAnsi="Arial"/>
          <w:color w:val="000000"/>
        </w:rPr>
        <w:t xml:space="preserve">, </w:t>
      </w:r>
      <w:r w:rsidR="00AF4A52">
        <w:rPr>
          <w:rFonts w:ascii="Arial" w:hAnsi="Arial"/>
          <w:color w:val="000000"/>
        </w:rPr>
        <w:t xml:space="preserve">le </w:t>
      </w:r>
      <w:r w:rsidR="009D05F0" w:rsidRPr="009D05F0">
        <w:rPr>
          <w:rFonts w:ascii="Arial" w:hAnsi="Arial"/>
          <w:color w:val="000000"/>
        </w:rPr>
        <w:t>5 mai</w:t>
      </w:r>
      <w:r>
        <w:rPr>
          <w:rFonts w:ascii="Arial" w:hAnsi="Arial"/>
          <w:color w:val="000000"/>
        </w:rPr>
        <w:t xml:space="preserve"> 202</w:t>
      </w:r>
      <w:r w:rsidR="001E4360">
        <w:rPr>
          <w:rFonts w:ascii="Arial" w:hAnsi="Arial"/>
          <w:color w:val="000000"/>
        </w:rPr>
        <w:t>6</w:t>
      </w:r>
      <w:r>
        <w:rPr>
          <w:rFonts w:ascii="Arial" w:hAnsi="Arial"/>
          <w:color w:val="000000"/>
        </w:rPr>
        <w:t xml:space="preserve"> – Würth </w:t>
      </w:r>
      <w:proofErr w:type="spellStart"/>
      <w:r>
        <w:rPr>
          <w:rFonts w:ascii="Arial" w:hAnsi="Arial"/>
          <w:color w:val="000000"/>
        </w:rPr>
        <w:t>Elektronik</w:t>
      </w:r>
      <w:proofErr w:type="spellEnd"/>
      <w:r>
        <w:rPr>
          <w:rFonts w:ascii="Arial" w:hAnsi="Arial"/>
          <w:color w:val="000000"/>
        </w:rPr>
        <w:t xml:space="preserve"> présente sa nouvelle série </w:t>
      </w:r>
      <w:hyperlink r:id="rId8" w:history="1">
        <w:r w:rsidRPr="006D75FE">
          <w:rPr>
            <w:rStyle w:val="Hyperlink"/>
            <w:rFonts w:ascii="Arial" w:hAnsi="Arial"/>
          </w:rPr>
          <w:t>WE-SFIA</w:t>
        </w:r>
      </w:hyperlink>
      <w:r>
        <w:rPr>
          <w:rFonts w:ascii="Arial" w:hAnsi="Arial"/>
          <w:color w:val="000000"/>
        </w:rPr>
        <w:t xml:space="preserve"> d’inductances à fil plat dans des boîtiers 2010, 2013 et 2016. Les inductances se distinguent par leur résistance en courant continu exceptionnellement faible et leur plage de température de fonctionnement étendue de -40 °C à +180 °C. La série WE-SFIA est disponible en composants catalogue, mais peut également être adaptée pour répondre aux exigences spécifiques des clients. </w:t>
      </w:r>
    </w:p>
    <w:p w14:paraId="4224A32F" w14:textId="77777777" w:rsidR="00823FE2" w:rsidRDefault="003F093F">
      <w:pPr>
        <w:pStyle w:val="Textkrper"/>
        <w:spacing w:before="120" w:after="120" w:line="260" w:lineRule="exact"/>
        <w:jc w:val="both"/>
        <w:rPr>
          <w:rFonts w:ascii="Arial" w:hAnsi="Arial"/>
          <w:b w:val="0"/>
          <w:bCs w:val="0"/>
          <w:color w:val="000000"/>
        </w:rPr>
      </w:pPr>
      <w:r>
        <w:rPr>
          <w:rFonts w:ascii="Arial" w:hAnsi="Arial"/>
          <w:b w:val="0"/>
          <w:color w:val="000000"/>
        </w:rPr>
        <w:t xml:space="preserve">Les inductances WE-SFIA sont conçus pour les convertisseurs DC/DC à haut rendement dans le domaine automobile, tels que les convertisseurs monophasés et </w:t>
      </w:r>
      <w:proofErr w:type="spellStart"/>
      <w:r>
        <w:rPr>
          <w:rFonts w:ascii="Arial" w:hAnsi="Arial"/>
          <w:b w:val="0"/>
          <w:color w:val="000000"/>
        </w:rPr>
        <w:t>multiphasés</w:t>
      </w:r>
      <w:proofErr w:type="spellEnd"/>
      <w:r>
        <w:rPr>
          <w:rFonts w:ascii="Arial" w:hAnsi="Arial"/>
          <w:b w:val="0"/>
          <w:color w:val="000000"/>
        </w:rPr>
        <w:t xml:space="preserve">, ainsi que les convertisseurs </w:t>
      </w:r>
      <w:proofErr w:type="spellStart"/>
      <w:r>
        <w:rPr>
          <w:rFonts w:ascii="Arial" w:hAnsi="Arial"/>
          <w:b w:val="0"/>
          <w:color w:val="000000"/>
        </w:rPr>
        <w:t>buck</w:t>
      </w:r>
      <w:proofErr w:type="spellEnd"/>
      <w:r>
        <w:rPr>
          <w:rFonts w:ascii="Arial" w:hAnsi="Arial"/>
          <w:b w:val="0"/>
          <w:color w:val="000000"/>
        </w:rPr>
        <w:t xml:space="preserve"> et boost avec des courants de saturation élevés pouvant atteindre 150 A. </w:t>
      </w:r>
      <w:r>
        <w:rPr>
          <w:rFonts w:ascii="Arial" w:hAnsi="Arial"/>
          <w:b w:val="0"/>
          <w:bCs w:val="0"/>
        </w:rPr>
        <w:t>Parmi les autres applications figurent les selfs de filtrage pour la gestion de batterie, les systèmes moteurs, audio et d’info divertissement.</w:t>
      </w:r>
    </w:p>
    <w:p w14:paraId="129517A5" w14:textId="77777777" w:rsidR="00823FE2" w:rsidRDefault="003F093F">
      <w:pPr>
        <w:pStyle w:val="Textkrper"/>
        <w:spacing w:before="120" w:after="120" w:line="260" w:lineRule="exact"/>
        <w:jc w:val="both"/>
        <w:rPr>
          <w:rFonts w:ascii="Arial" w:hAnsi="Arial"/>
          <w:b w:val="0"/>
          <w:bCs w:val="0"/>
          <w:color w:val="000000"/>
        </w:rPr>
      </w:pPr>
      <w:r>
        <w:rPr>
          <w:rFonts w:ascii="Arial" w:hAnsi="Arial"/>
          <w:b w:val="0"/>
          <w:color w:val="000000"/>
        </w:rPr>
        <w:t xml:space="preserve">La technologie à fil plat utilisée dans ces selfs présente de nombreux avantages : Elle est plus robuste sur le plan mécanique et permet des enroulements plus serrés et plus réguliers, ainsi qu’une meilleure dissipation de la chaleur. Les enroulements à fil plat offrent également une section transversale plus importante, ce qui réduit la résistance électrique. </w:t>
      </w:r>
      <w:r>
        <w:rPr>
          <w:rFonts w:ascii="Arial" w:hAnsi="Arial"/>
          <w:b w:val="0"/>
          <w:bCs w:val="0"/>
        </w:rPr>
        <w:t>Cela se traduit par une capacité de conduction de courant plus élevée, particulièrement avantageuse pour gérer les pics transitoires. Les pertes AC, telles que l’effet de peau, sont également nettement réduites dans les applications à haute fréquence par rapport aux variantes à fil rond équivalentes.</w:t>
      </w:r>
    </w:p>
    <w:p w14:paraId="7CB8D90C" w14:textId="77777777" w:rsidR="00823FE2" w:rsidRDefault="003F093F">
      <w:pPr>
        <w:pStyle w:val="Textkrper"/>
        <w:spacing w:before="120" w:after="120" w:line="260" w:lineRule="exact"/>
        <w:jc w:val="both"/>
        <w:rPr>
          <w:rFonts w:ascii="Arial" w:hAnsi="Arial"/>
          <w:color w:val="000000"/>
        </w:rPr>
      </w:pPr>
      <w:r>
        <w:rPr>
          <w:rFonts w:ascii="Arial" w:hAnsi="Arial"/>
          <w:color w:val="000000"/>
        </w:rPr>
        <w:t>Compact et efficace</w:t>
      </w:r>
    </w:p>
    <w:p w14:paraId="5A6BA5D5" w14:textId="77777777" w:rsidR="00823FE2" w:rsidRDefault="003F093F">
      <w:pPr>
        <w:pStyle w:val="Textkrper"/>
        <w:spacing w:before="120" w:after="120" w:line="260" w:lineRule="exact"/>
        <w:jc w:val="both"/>
        <w:rPr>
          <w:rFonts w:ascii="Arial" w:hAnsi="Arial"/>
          <w:b w:val="0"/>
          <w:bCs w:val="0"/>
          <w:color w:val="000000"/>
        </w:rPr>
      </w:pPr>
      <w:r>
        <w:rPr>
          <w:rFonts w:ascii="Arial" w:hAnsi="Arial"/>
          <w:b w:val="0"/>
          <w:color w:val="000000"/>
        </w:rPr>
        <w:t xml:space="preserve">Grâce à un matériau de noyau optimisé, Würth </w:t>
      </w:r>
      <w:proofErr w:type="spellStart"/>
      <w:r>
        <w:rPr>
          <w:rFonts w:ascii="Arial" w:hAnsi="Arial"/>
          <w:b w:val="0"/>
          <w:color w:val="000000"/>
        </w:rPr>
        <w:t>Elektronik</w:t>
      </w:r>
      <w:proofErr w:type="spellEnd"/>
      <w:r>
        <w:rPr>
          <w:rFonts w:ascii="Arial" w:hAnsi="Arial"/>
          <w:b w:val="0"/>
          <w:color w:val="000000"/>
        </w:rPr>
        <w:t xml:space="preserve"> obtient avec ses inductances WE-SFIA des performances de saturation magnétique améliorées par rapport à d’autres produits commerciaux. La série de produits WE-SFIA se caractérise par sa conception compacte, sa résistance aux températures élevées et son efficacité énergétique. Cela ouvre de nouvelles possibilités de conception pour les développeurs. Les inductances à fil plat sont disponibles avec des valeurs comprises entre 0,33 µH et 4,7 µH. D’autres valeurs d’inductance sont disponibles sur demande.</w:t>
      </w:r>
    </w:p>
    <w:p w14:paraId="6EC5BB9C" w14:textId="1570DBE6" w:rsidR="00AF4A52" w:rsidRDefault="00AF4A52">
      <w:pPr>
        <w:rPr>
          <w:rFonts w:ascii="Arial" w:hAnsi="Arial" w:cs="Arial"/>
          <w:sz w:val="20"/>
          <w:szCs w:val="20"/>
        </w:rPr>
      </w:pPr>
      <w:r>
        <w:rPr>
          <w:rFonts w:ascii="Arial" w:hAnsi="Arial" w:cs="Arial"/>
          <w:sz w:val="20"/>
          <w:szCs w:val="20"/>
        </w:rPr>
        <w:br w:type="page"/>
      </w:r>
    </w:p>
    <w:p w14:paraId="25B0C113" w14:textId="77777777" w:rsidR="00823FE2" w:rsidRDefault="00823FE2">
      <w:pPr>
        <w:rPr>
          <w:rFonts w:ascii="Arial" w:hAnsi="Arial" w:cs="Arial"/>
          <w:sz w:val="20"/>
          <w:szCs w:val="20"/>
        </w:rPr>
      </w:pPr>
    </w:p>
    <w:p w14:paraId="32BB4AB5" w14:textId="77777777" w:rsidR="00823FE2" w:rsidRDefault="00823FE2">
      <w:pPr>
        <w:pStyle w:val="PITextkrper"/>
        <w:pBdr>
          <w:top w:val="single" w:sz="4" w:space="1" w:color="auto"/>
        </w:pBdr>
        <w:spacing w:before="240"/>
        <w:rPr>
          <w:b/>
          <w:sz w:val="18"/>
          <w:szCs w:val="18"/>
        </w:rPr>
      </w:pPr>
    </w:p>
    <w:p w14:paraId="46C01836" w14:textId="2EDF0BE8" w:rsidR="009D05F0" w:rsidRPr="0023476F" w:rsidRDefault="009D05F0" w:rsidP="009D05F0">
      <w:pPr>
        <w:spacing w:after="120" w:line="280" w:lineRule="exact"/>
        <w:rPr>
          <w:rFonts w:ascii="Arial" w:hAnsi="Arial" w:cs="Arial"/>
          <w:b/>
          <w:bCs/>
          <w:sz w:val="18"/>
          <w:szCs w:val="18"/>
        </w:rPr>
      </w:pPr>
      <w:r w:rsidRPr="0023476F">
        <w:rPr>
          <w:rFonts w:ascii="Arial" w:hAnsi="Arial"/>
          <w:b/>
          <w:sz w:val="18"/>
        </w:rPr>
        <w:t>Images disponibles</w:t>
      </w:r>
    </w:p>
    <w:p w14:paraId="562DBF1F" w14:textId="526D9A52" w:rsidR="00823FE2" w:rsidRDefault="009D05F0" w:rsidP="009D05F0">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823FE2" w14:paraId="175F0D93" w14:textId="77777777">
        <w:trPr>
          <w:trHeight w:val="1701"/>
        </w:trPr>
        <w:tc>
          <w:tcPr>
            <w:tcW w:w="3510" w:type="dxa"/>
          </w:tcPr>
          <w:p w14:paraId="3409D909" w14:textId="429BE3D4" w:rsidR="00823FE2" w:rsidRDefault="006D75FE">
            <w:pPr>
              <w:pStyle w:val="txt"/>
              <w:rPr>
                <w:b/>
                <w:bCs/>
                <w:sz w:val="18"/>
              </w:rPr>
            </w:pPr>
            <w:r>
              <w:rPr>
                <w:noProof/>
                <w:lang w:eastAsia="zh-CN"/>
              </w:rPr>
              <w:drawing>
                <wp:anchor distT="0" distB="0" distL="114300" distR="114300" simplePos="0" relativeHeight="251658240" behindDoc="0" locked="0" layoutInCell="1" allowOverlap="1" wp14:anchorId="4224D2E8" wp14:editId="71802417">
                  <wp:simplePos x="0" y="0"/>
                  <wp:positionH relativeFrom="column">
                    <wp:posOffset>0</wp:posOffset>
                  </wp:positionH>
                  <wp:positionV relativeFrom="paragraph">
                    <wp:posOffset>47625</wp:posOffset>
                  </wp:positionV>
                  <wp:extent cx="2133600" cy="2133600"/>
                  <wp:effectExtent l="0" t="0" r="0" b="0"/>
                  <wp:wrapTopAndBottom/>
                  <wp:docPr id="18875363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anchor>
              </w:drawing>
            </w:r>
            <w:r w:rsidR="003F093F">
              <w:rPr>
                <w:sz w:val="16"/>
              </w:rPr>
              <w:t xml:space="preserve">Source photo : Würth </w:t>
            </w:r>
            <w:proofErr w:type="spellStart"/>
            <w:r w:rsidR="003F093F">
              <w:rPr>
                <w:sz w:val="16"/>
              </w:rPr>
              <w:t>Elektronik</w:t>
            </w:r>
            <w:proofErr w:type="spellEnd"/>
            <w:r w:rsidR="003F093F">
              <w:rPr>
                <w:sz w:val="16"/>
              </w:rPr>
              <w:t xml:space="preserve"> </w:t>
            </w:r>
          </w:p>
          <w:p w14:paraId="78D800C3" w14:textId="77777777" w:rsidR="00823FE2" w:rsidRDefault="003F093F">
            <w:pPr>
              <w:autoSpaceDE w:val="0"/>
              <w:autoSpaceDN w:val="0"/>
              <w:adjustRightInd w:val="0"/>
              <w:rPr>
                <w:rFonts w:ascii="Arial" w:hAnsi="Arial" w:cs="Arial"/>
                <w:b/>
                <w:sz w:val="18"/>
                <w:szCs w:val="18"/>
              </w:rPr>
            </w:pPr>
            <w:r>
              <w:rPr>
                <w:rFonts w:ascii="Arial" w:hAnsi="Arial"/>
                <w:b/>
                <w:sz w:val="18"/>
              </w:rPr>
              <w:t>Les trois tailles de boitier standard de l’inductance à fil plat WE-SFIA</w:t>
            </w:r>
          </w:p>
          <w:p w14:paraId="11A23885" w14:textId="77777777" w:rsidR="00823FE2" w:rsidRDefault="00823FE2">
            <w:pPr>
              <w:autoSpaceDE w:val="0"/>
              <w:autoSpaceDN w:val="0"/>
              <w:adjustRightInd w:val="0"/>
              <w:rPr>
                <w:rFonts w:ascii="Arial" w:hAnsi="Arial" w:cs="Arial"/>
                <w:b/>
                <w:bCs/>
                <w:sz w:val="18"/>
                <w:szCs w:val="18"/>
              </w:rPr>
            </w:pPr>
          </w:p>
        </w:tc>
      </w:tr>
    </w:tbl>
    <w:p w14:paraId="34989047" w14:textId="77777777" w:rsidR="00823FE2" w:rsidRDefault="00823FE2">
      <w:pPr>
        <w:pStyle w:val="PITextkrper"/>
        <w:rPr>
          <w:b/>
          <w:bCs/>
          <w:sz w:val="18"/>
          <w:szCs w:val="18"/>
        </w:rPr>
      </w:pPr>
    </w:p>
    <w:p w14:paraId="5BE3BF65" w14:textId="77777777" w:rsidR="00823FE2" w:rsidRDefault="00823FE2">
      <w:pPr>
        <w:pStyle w:val="Textkrper"/>
        <w:spacing w:before="120" w:after="120" w:line="260" w:lineRule="exact"/>
        <w:jc w:val="both"/>
        <w:rPr>
          <w:rFonts w:ascii="Arial" w:hAnsi="Arial"/>
          <w:b w:val="0"/>
          <w:bCs w:val="0"/>
        </w:rPr>
      </w:pPr>
    </w:p>
    <w:p w14:paraId="4B326A18" w14:textId="77777777" w:rsidR="00823FE2" w:rsidRDefault="00823FE2">
      <w:pPr>
        <w:pStyle w:val="PITextkrper"/>
        <w:pBdr>
          <w:top w:val="single" w:sz="4" w:space="1" w:color="auto"/>
        </w:pBdr>
        <w:spacing w:before="240"/>
        <w:rPr>
          <w:b/>
          <w:sz w:val="18"/>
          <w:szCs w:val="18"/>
        </w:rPr>
      </w:pPr>
    </w:p>
    <w:p w14:paraId="5B4C6A5D" w14:textId="77777777" w:rsidR="009D05F0" w:rsidRPr="0023476F" w:rsidRDefault="009D05F0" w:rsidP="009D05F0">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1D995212" w14:textId="77777777" w:rsidR="009D05F0" w:rsidRDefault="009D05F0" w:rsidP="009D05F0">
      <w:pPr>
        <w:pStyle w:val="Textkrper"/>
        <w:spacing w:before="120" w:after="120" w:line="276" w:lineRule="auto"/>
        <w:jc w:val="both"/>
        <w:rPr>
          <w:rFonts w:ascii="Arial" w:hAnsi="Arial"/>
          <w:b w:val="0"/>
        </w:rPr>
      </w:pPr>
      <w:bookmarkStart w:id="0" w:name="_Hlk529547556"/>
      <w:r w:rsidRPr="00AF4A52">
        <w:rPr>
          <w:rFonts w:ascii="Arial" w:hAnsi="Arial"/>
          <w:b w:val="0"/>
        </w:rPr>
        <w:t xml:space="preserve">Le groupe Würth </w:t>
      </w:r>
      <w:proofErr w:type="spellStart"/>
      <w:r w:rsidRPr="00AF4A52">
        <w:rPr>
          <w:rFonts w:ascii="Arial" w:hAnsi="Arial"/>
          <w:b w:val="0"/>
        </w:rPr>
        <w:t>Elektronik</w:t>
      </w:r>
      <w:proofErr w:type="spellEnd"/>
      <w:r w:rsidRPr="00AF4A52">
        <w:rPr>
          <w:rFonts w:ascii="Arial" w:hAnsi="Arial"/>
          <w:b w:val="0"/>
        </w:rPr>
        <w:t xml:space="preserve"> eiSos est un fabricant de composants électroniques et électromécaniques pour l'industrie électronique et un facilitateur technologique pour des solutions électroniques pionnières.</w:t>
      </w:r>
      <w:bookmarkEnd w:id="0"/>
      <w:r w:rsidRPr="00AF4A52">
        <w:rPr>
          <w:rFonts w:ascii="Arial" w:hAnsi="Arial"/>
          <w:b w:val="0"/>
        </w:rPr>
        <w:t xml:space="preserve"> </w:t>
      </w:r>
      <w:r w:rsidRPr="00143219">
        <w:rPr>
          <w:rFonts w:ascii="Arial" w:hAnsi="Arial"/>
          <w:b w:val="0"/>
          <w:lang w:val="en-US"/>
        </w:rPr>
        <w:t xml:space="preserve">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1DEE3FAD" w14:textId="77777777" w:rsidR="009D05F0" w:rsidRPr="00AF4A52" w:rsidRDefault="009D05F0" w:rsidP="009D05F0">
      <w:pPr>
        <w:pStyle w:val="Textkrper"/>
        <w:spacing w:before="120" w:after="120" w:line="276" w:lineRule="auto"/>
        <w:jc w:val="both"/>
        <w:rPr>
          <w:rFonts w:ascii="Arial" w:hAnsi="Arial"/>
          <w:b w:val="0"/>
        </w:rPr>
      </w:pPr>
      <w:r w:rsidRPr="00AF4A52">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580DA018" w14:textId="74847BE9" w:rsidR="00AF4A52" w:rsidRDefault="009D05F0" w:rsidP="009D05F0">
      <w:pPr>
        <w:pStyle w:val="Textkrper"/>
        <w:spacing w:before="120" w:after="120" w:line="276" w:lineRule="auto"/>
        <w:jc w:val="both"/>
        <w:rPr>
          <w:rFonts w:ascii="Arial" w:hAnsi="Arial"/>
          <w:b w:val="0"/>
        </w:rPr>
      </w:pPr>
      <w:r w:rsidRPr="00AF4A52">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19929F9E" w14:textId="77777777" w:rsidR="00AF4A52" w:rsidRDefault="00AF4A52">
      <w:pPr>
        <w:rPr>
          <w:rFonts w:ascii="Arial" w:hAnsi="Arial" w:cs="Arial"/>
          <w:bCs/>
          <w:sz w:val="20"/>
          <w:szCs w:val="20"/>
        </w:rPr>
      </w:pPr>
      <w:r>
        <w:rPr>
          <w:rFonts w:ascii="Arial" w:hAnsi="Arial"/>
          <w:b/>
        </w:rPr>
        <w:br w:type="page"/>
      </w:r>
    </w:p>
    <w:p w14:paraId="0E9490D2" w14:textId="77777777" w:rsidR="009D05F0" w:rsidRPr="00AF4A52" w:rsidRDefault="009D05F0" w:rsidP="009D05F0">
      <w:pPr>
        <w:pStyle w:val="Textkrper"/>
        <w:spacing w:before="120" w:after="120" w:line="276" w:lineRule="auto"/>
        <w:jc w:val="both"/>
        <w:rPr>
          <w:rFonts w:ascii="Arial" w:hAnsi="Arial"/>
          <w:b w:val="0"/>
        </w:rPr>
      </w:pPr>
    </w:p>
    <w:p w14:paraId="1DC3A72A" w14:textId="77777777" w:rsidR="009D05F0" w:rsidRPr="00AF4A52" w:rsidRDefault="009D05F0" w:rsidP="009D05F0">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AF4A52">
        <w:rPr>
          <w:rFonts w:ascii="Arial" w:hAnsi="Arial"/>
          <w:b w:val="0"/>
        </w:rPr>
        <w:t>La société a réalisé un chiffre d'affaires de 1,06 milliard d’euros en 2025.</w:t>
      </w:r>
    </w:p>
    <w:p w14:paraId="75F0C60E" w14:textId="77777777" w:rsidR="009D05F0" w:rsidRPr="0023476F" w:rsidRDefault="009D05F0" w:rsidP="009D05F0">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30EAF216" w14:textId="70F72B61" w:rsidR="009D05F0" w:rsidRPr="0023476F" w:rsidRDefault="009D05F0" w:rsidP="009D05F0">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9D05F0" w:rsidRPr="0023476F" w14:paraId="15F361F5" w14:textId="77777777" w:rsidTr="00C57424">
        <w:tc>
          <w:tcPr>
            <w:tcW w:w="3902" w:type="dxa"/>
            <w:hideMark/>
          </w:tcPr>
          <w:p w14:paraId="4055F827" w14:textId="77777777" w:rsidR="009D05F0" w:rsidRPr="0023476F" w:rsidRDefault="009D05F0" w:rsidP="00C57424">
            <w:pPr>
              <w:pStyle w:val="Textkrper"/>
              <w:autoSpaceDE/>
              <w:adjustRightInd/>
              <w:spacing w:before="120" w:after="120" w:line="276" w:lineRule="auto"/>
              <w:rPr>
                <w:b w:val="0"/>
                <w:bCs w:val="0"/>
              </w:rPr>
            </w:pPr>
            <w:r w:rsidRPr="0023476F">
              <w:br w:type="page"/>
            </w:r>
            <w:r w:rsidRPr="0023476F">
              <w:rPr>
                <w:b w:val="0"/>
                <w:bCs w:val="0"/>
              </w:rPr>
              <w:br w:type="page"/>
            </w:r>
          </w:p>
          <w:p w14:paraId="3D1DD8EB" w14:textId="77777777" w:rsidR="009D05F0" w:rsidRPr="0023476F" w:rsidRDefault="009D05F0" w:rsidP="00C57424">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3D1786AA" w14:textId="77777777" w:rsidR="009D05F0" w:rsidRPr="0023476F" w:rsidRDefault="009D05F0" w:rsidP="00C57424">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4A95F2B0" w14:textId="77777777" w:rsidR="009D05F0" w:rsidRPr="0023476F" w:rsidRDefault="009D05F0" w:rsidP="00C57424">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58C15FD" w14:textId="77777777" w:rsidR="009D05F0" w:rsidRPr="0023476F" w:rsidRDefault="009D05F0" w:rsidP="00C57424">
            <w:pPr>
              <w:spacing w:before="120" w:after="120" w:line="276" w:lineRule="auto"/>
              <w:rPr>
                <w:rFonts w:ascii="Arial" w:hAnsi="Arial" w:cs="Arial"/>
                <w:bCs/>
                <w:sz w:val="20"/>
              </w:rPr>
            </w:pPr>
            <w:r w:rsidRPr="0023476F">
              <w:rPr>
                <w:rFonts w:ascii="Arial" w:hAnsi="Arial" w:cs="Arial"/>
                <w:bCs/>
                <w:sz w:val="20"/>
              </w:rPr>
              <w:t>www.we-online.com</w:t>
            </w:r>
          </w:p>
          <w:p w14:paraId="1A3472C3" w14:textId="77777777" w:rsidR="009D05F0" w:rsidRPr="0023476F" w:rsidRDefault="009D05F0" w:rsidP="00C57424">
            <w:pPr>
              <w:rPr>
                <w:rFonts w:ascii="Arial" w:hAnsi="Arial" w:cs="Arial"/>
                <w:sz w:val="20"/>
              </w:rPr>
            </w:pPr>
          </w:p>
          <w:p w14:paraId="69237363" w14:textId="77777777" w:rsidR="009D05F0" w:rsidRPr="0023476F" w:rsidRDefault="009D05F0" w:rsidP="00C57424">
            <w:pPr>
              <w:rPr>
                <w:rFonts w:ascii="Arial" w:hAnsi="Arial" w:cs="Arial"/>
                <w:sz w:val="20"/>
              </w:rPr>
            </w:pPr>
          </w:p>
        </w:tc>
        <w:tc>
          <w:tcPr>
            <w:tcW w:w="3193" w:type="dxa"/>
            <w:hideMark/>
          </w:tcPr>
          <w:p w14:paraId="100E80EC" w14:textId="77777777" w:rsidR="009D05F0" w:rsidRPr="0023476F" w:rsidRDefault="009D05F0" w:rsidP="00C57424">
            <w:pPr>
              <w:pStyle w:val="Textkrper"/>
              <w:tabs>
                <w:tab w:val="left" w:pos="1065"/>
              </w:tabs>
              <w:autoSpaceDE/>
              <w:adjustRightInd/>
              <w:spacing w:before="120" w:after="120" w:line="276" w:lineRule="auto"/>
              <w:rPr>
                <w:rFonts w:ascii="Arial" w:hAnsi="Arial"/>
              </w:rPr>
            </w:pPr>
          </w:p>
          <w:p w14:paraId="17749D0D" w14:textId="77777777" w:rsidR="009D05F0" w:rsidRPr="0023476F" w:rsidRDefault="009D05F0" w:rsidP="00C57424">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6FB9C1DA" w14:textId="77777777" w:rsidR="009D05F0" w:rsidRPr="0023476F" w:rsidRDefault="009D05F0" w:rsidP="00C57424">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444EC8FF" w14:textId="77777777" w:rsidR="009D05F0" w:rsidRPr="0023476F" w:rsidRDefault="009D05F0" w:rsidP="00C57424">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1D81C1C5" w14:textId="77777777" w:rsidR="009D05F0" w:rsidRPr="0023476F" w:rsidRDefault="009D05F0" w:rsidP="00C57424">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681D03D7" w14:textId="77777777" w:rsidR="00823FE2" w:rsidRDefault="00823FE2">
      <w:pPr>
        <w:pStyle w:val="Textkrper"/>
        <w:spacing w:before="120" w:after="120" w:line="260" w:lineRule="exact"/>
      </w:pPr>
    </w:p>
    <w:p w14:paraId="3C29493D" w14:textId="77777777" w:rsidR="00823FE2" w:rsidRDefault="00823FE2">
      <w:pPr>
        <w:pStyle w:val="Textkrper"/>
        <w:spacing w:before="120" w:after="120" w:line="260" w:lineRule="exact"/>
        <w:jc w:val="both"/>
        <w:rPr>
          <w:rFonts w:asciiTheme="minorHAnsi" w:hAnsiTheme="minorHAnsi" w:cstheme="minorHAnsi"/>
          <w:sz w:val="22"/>
          <w:szCs w:val="22"/>
        </w:rPr>
      </w:pPr>
    </w:p>
    <w:sectPr w:rsidR="00823FE2">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CE8A" w14:textId="77777777" w:rsidR="000406CC" w:rsidRDefault="000406CC">
      <w:r>
        <w:separator/>
      </w:r>
    </w:p>
  </w:endnote>
  <w:endnote w:type="continuationSeparator" w:id="0">
    <w:p w14:paraId="0E33D450" w14:textId="77777777" w:rsidR="000406CC" w:rsidRDefault="0004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A1E8" w14:textId="5EC5D633" w:rsidR="00823FE2" w:rsidRDefault="003F093F">
    <w:pPr>
      <w:pStyle w:val="Fuzeile"/>
      <w:tabs>
        <w:tab w:val="clear" w:pos="4536"/>
        <w:tab w:val="clear" w:pos="9072"/>
        <w:tab w:val="right" w:pos="7088"/>
      </w:tabs>
      <w:rPr>
        <w:rFonts w:ascii="Arial" w:hAnsi="Arial" w:cs="Arial"/>
        <w:noProof/>
        <w:snapToGrid w:val="0"/>
        <w:sz w:val="16"/>
        <w:szCs w:val="16"/>
        <w:lang w:val="pl-PL"/>
      </w:rPr>
    </w:pPr>
    <w:r>
      <w:rPr>
        <w:rFonts w:ascii="Arial" w:hAnsi="Arial" w:cs="Arial"/>
        <w:snapToGrid w:val="0"/>
        <w:sz w:val="16"/>
      </w:rPr>
      <w:fldChar w:fldCharType="begin"/>
    </w:r>
    <w:r>
      <w:rPr>
        <w:rFonts w:ascii="Arial" w:hAnsi="Arial" w:cs="Arial"/>
        <w:snapToGrid w:val="0"/>
        <w:sz w:val="16"/>
        <w:lang w:val="pl-PL"/>
      </w:rPr>
      <w:instrText xml:space="preserve"> FILENAME  \* MERGEFORMAT </w:instrText>
    </w:r>
    <w:r>
      <w:rPr>
        <w:rFonts w:ascii="Arial" w:hAnsi="Arial" w:cs="Arial"/>
        <w:snapToGrid w:val="0"/>
        <w:sz w:val="16"/>
      </w:rPr>
      <w:fldChar w:fldCharType="separate"/>
    </w:r>
    <w:r>
      <w:rPr>
        <w:rFonts w:ascii="Arial" w:hAnsi="Arial" w:cs="Arial"/>
        <w:snapToGrid w:val="0"/>
        <w:sz w:val="16"/>
        <w:lang w:val="pl-PL"/>
      </w:rPr>
      <w:t>WTH1PI1709_fr</w:t>
    </w:r>
    <w:r>
      <w:rPr>
        <w:rFonts w:ascii="Arial" w:hAnsi="Arial" w:cs="Arial"/>
        <w:snapToGrid w:val="0"/>
        <w:sz w:val="16"/>
      </w:rPr>
      <w:fldChar w:fldCharType="end"/>
    </w:r>
    <w:r>
      <w:rPr>
        <w:rFonts w:ascii="Arial" w:hAnsi="Arial"/>
        <w:snapToGrid w:val="0"/>
        <w:sz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3C3A" w14:textId="77777777" w:rsidR="000406CC" w:rsidRDefault="000406CC">
      <w:r>
        <w:separator/>
      </w:r>
    </w:p>
  </w:footnote>
  <w:footnote w:type="continuationSeparator" w:id="0">
    <w:p w14:paraId="58E02C25" w14:textId="77777777" w:rsidR="000406CC" w:rsidRDefault="0004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5467" w14:textId="77777777" w:rsidR="00823FE2" w:rsidRDefault="003F093F">
    <w:pPr>
      <w:pStyle w:val="Kopfzeile"/>
      <w:tabs>
        <w:tab w:val="clear" w:pos="9072"/>
        <w:tab w:val="right" w:pos="9498"/>
      </w:tabs>
    </w:pPr>
    <w:r>
      <w:rPr>
        <w:noProof/>
        <w:lang w:eastAsia="zh-CN"/>
      </w:rPr>
      <w:drawing>
        <wp:anchor distT="0" distB="0" distL="114300" distR="114300" simplePos="0" relativeHeight="251657728" behindDoc="1" locked="0" layoutInCell="0" allowOverlap="1" wp14:anchorId="5106E2DB" wp14:editId="1039D91B">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666112">
    <w:abstractNumId w:val="4"/>
  </w:num>
  <w:num w:numId="2" w16cid:durableId="400323916">
    <w:abstractNumId w:val="1"/>
  </w:num>
  <w:num w:numId="3" w16cid:durableId="1575317181">
    <w:abstractNumId w:val="2"/>
  </w:num>
  <w:num w:numId="4" w16cid:durableId="238174133">
    <w:abstractNumId w:val="3"/>
  </w:num>
  <w:num w:numId="5" w16cid:durableId="28993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E2"/>
    <w:rsid w:val="000406CC"/>
    <w:rsid w:val="000A162F"/>
    <w:rsid w:val="001E4360"/>
    <w:rsid w:val="003F093F"/>
    <w:rsid w:val="006D75FE"/>
    <w:rsid w:val="00746E92"/>
    <w:rsid w:val="007D2545"/>
    <w:rsid w:val="00823FE2"/>
    <w:rsid w:val="00975215"/>
    <w:rsid w:val="009D05F0"/>
    <w:rsid w:val="00AD7902"/>
    <w:rsid w:val="00AF4A5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DA134"/>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fr-FR"/>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6D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SF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BB888-1D8F-4D2F-AC58-5AC509C9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3842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4443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2026-05-04T14:11:00Z</dcterms:created>
  <dcterms:modified xsi:type="dcterms:W3CDTF">2026-05-04T18:51:00Z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