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097287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56B4B52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Würth </w:t>
      </w:r>
      <w:proofErr w:type="spellStart"/>
      <w:r>
        <w:rPr>
          <w:rFonts w:ascii="Arial" w:hAnsi="Arial"/>
          <w:b/>
        </w:rPr>
        <w:t>Elektronik</w:t>
      </w:r>
      <w:proofErr w:type="spellEnd"/>
      <w:r>
        <w:rPr>
          <w:rFonts w:ascii="Arial" w:hAnsi="Arial"/>
          <w:b/>
        </w:rPr>
        <w:t xml:space="preserve"> </w:t>
      </w:r>
      <w:r w:rsidR="00C27B00">
        <w:rPr>
          <w:rFonts w:ascii="Arial" w:hAnsi="Arial"/>
          <w:b/>
        </w:rPr>
        <w:t>introduce</w:t>
      </w:r>
      <w:r>
        <w:rPr>
          <w:rFonts w:ascii="Arial" w:hAnsi="Arial"/>
          <w:b/>
        </w:rPr>
        <w:t xml:space="preserve"> dissipatori di calore per componenti elettronici di potenza e circuiti integrati</w:t>
      </w:r>
    </w:p>
    <w:p w14:paraId="4148C797" w14:textId="2ACFDCA0" w:rsidR="00485E6F" w:rsidRPr="00097287" w:rsidRDefault="00C76EA4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Ingresso nell’ambito del raffreddamento orientato ai servizi</w:t>
      </w:r>
    </w:p>
    <w:p w14:paraId="47F76805" w14:textId="3A8734B2" w:rsidR="00097287" w:rsidRPr="00097287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DD5C5D">
        <w:rPr>
          <w:rFonts w:ascii="Arial" w:hAnsi="Arial"/>
          <w:color w:val="000000"/>
        </w:rPr>
        <w:t>31 marzo</w:t>
      </w:r>
      <w:r>
        <w:rPr>
          <w:rFonts w:ascii="Arial" w:hAnsi="Arial"/>
          <w:color w:val="000000"/>
        </w:rPr>
        <w:t xml:space="preserve"> 202</w:t>
      </w:r>
      <w:r w:rsidR="00DD5C5D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–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amplia la propria gamma di prodotti partendo con </w:t>
      </w:r>
      <w:hyperlink r:id="rId8" w:history="1">
        <w:r w:rsidRPr="00DD5C5D">
          <w:rPr>
            <w:rStyle w:val="Hyperlink"/>
            <w:rFonts w:ascii="Arial" w:hAnsi="Arial"/>
          </w:rPr>
          <w:t>un’offerta completa di dissipatori di calore</w:t>
        </w:r>
      </w:hyperlink>
      <w:r>
        <w:rPr>
          <w:rFonts w:ascii="Arial" w:hAnsi="Arial"/>
          <w:color w:val="000000"/>
        </w:rPr>
        <w:t>, suddivisa in tre gruppi di prodotti specializzati: i dissipatori WE-HTO sono progettati per modelli TO con tecnologia THT (</w:t>
      </w:r>
      <w:proofErr w:type="spellStart"/>
      <w:r>
        <w:rPr>
          <w:rFonts w:ascii="Arial" w:hAnsi="Arial"/>
          <w:color w:val="000000"/>
        </w:rPr>
        <w:t>Through</w:t>
      </w:r>
      <w:proofErr w:type="spellEnd"/>
      <w:r>
        <w:rPr>
          <w:rFonts w:ascii="Arial" w:hAnsi="Arial"/>
          <w:color w:val="000000"/>
        </w:rPr>
        <w:t xml:space="preserve"> Hole Technology) come TO-220 e TO-247. WE-HIC comprende dissipatori di calore alettati classici per componenti con superficie piana, come CPU o convertitori </w:t>
      </w:r>
      <w:r w:rsidR="00C27B00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>C/</w:t>
      </w:r>
      <w:r w:rsidR="00C27B00">
        <w:rPr>
          <w:rFonts w:ascii="Arial" w:hAnsi="Arial"/>
          <w:color w:val="000000"/>
        </w:rPr>
        <w:t>D</w:t>
      </w:r>
      <w:r>
        <w:rPr>
          <w:rFonts w:ascii="Arial" w:hAnsi="Arial"/>
          <w:color w:val="000000"/>
        </w:rPr>
        <w:t xml:space="preserve">C, che presentano una maggiore produzione di calore. Le varianti WE-HTOI e WE-HICI vengono fornite già rivestite in fabbrica con materiale </w:t>
      </w:r>
      <w:proofErr w:type="spellStart"/>
      <w:r>
        <w:rPr>
          <w:rFonts w:ascii="Arial" w:hAnsi="Arial"/>
          <w:color w:val="000000"/>
        </w:rPr>
        <w:t>termoconduttivo</w:t>
      </w:r>
      <w:proofErr w:type="spellEnd"/>
      <w:r>
        <w:rPr>
          <w:rFonts w:ascii="Arial" w:hAnsi="Arial"/>
          <w:color w:val="000000"/>
        </w:rPr>
        <w:t xml:space="preserve">. In questo modo si evita la formazione di un </w:t>
      </w:r>
      <w:r w:rsidR="00C27B00">
        <w:rPr>
          <w:rFonts w:ascii="Arial" w:hAnsi="Arial"/>
          <w:color w:val="000000"/>
        </w:rPr>
        <w:t>gap</w:t>
      </w:r>
      <w:r>
        <w:rPr>
          <w:rFonts w:ascii="Arial" w:hAnsi="Arial"/>
          <w:color w:val="000000"/>
        </w:rPr>
        <w:t xml:space="preserve"> d'aria tra il componente e il dissipatore di calore e si massimizza la potenza di raffreddamento. Come servizio speciale Würth </w:t>
      </w:r>
      <w:proofErr w:type="spellStart"/>
      <w:r>
        <w:rPr>
          <w:rFonts w:ascii="Arial" w:hAnsi="Arial"/>
          <w:color w:val="000000"/>
        </w:rPr>
        <w:t>Elektronik</w:t>
      </w:r>
      <w:proofErr w:type="spellEnd"/>
      <w:r>
        <w:rPr>
          <w:rFonts w:ascii="Arial" w:hAnsi="Arial"/>
          <w:color w:val="000000"/>
        </w:rPr>
        <w:t xml:space="preserve"> fornisce assistenza tecnica, caratteristiche dettagliate dei dissipatori di calore, possibilità di simulazione e modifiche personalizzate.</w:t>
      </w:r>
    </w:p>
    <w:p w14:paraId="425358A3" w14:textId="1DCCC78D" w:rsidR="00C27B00" w:rsidRDefault="00C27B00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</w:rPr>
      </w:pPr>
      <w:r w:rsidRPr="00C27B00">
        <w:rPr>
          <w:rFonts w:ascii="Arial" w:hAnsi="Arial"/>
          <w:b w:val="0"/>
        </w:rPr>
        <w:t>I dissipatori di calore WE-HTO sono disponibili in varie forme e con diverse strutture superficiali per consentire prestazioni di raffreddamento personalizzate. Ciò include varianti con lamiera curva e con alette di raffreddamento, che dissipano più calore grazie alla loro maggiore superficie.</w:t>
      </w:r>
      <w:r w:rsidR="00156439">
        <w:rPr>
          <w:rFonts w:ascii="Arial" w:hAnsi="Arial"/>
          <w:b w:val="0"/>
        </w:rPr>
        <w:t xml:space="preserve"> </w:t>
      </w:r>
      <w:r w:rsidR="00156439" w:rsidRPr="00156439">
        <w:rPr>
          <w:rFonts w:ascii="Arial" w:hAnsi="Arial"/>
          <w:b w:val="0"/>
        </w:rPr>
        <w:t>È inoltre possibile ordinare viti M3, dadi e boccole isolanti adatti per il fissaggio sui dissipatori di calore WE-HTO e WE-HTOI.</w:t>
      </w:r>
    </w:p>
    <w:p w14:paraId="7AB1BEB0" w14:textId="28D9B076" w:rsidR="00BA2C02" w:rsidRP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Alette di raffreddamento per diversi flussi d'aria</w:t>
      </w:r>
    </w:p>
    <w:p w14:paraId="6E6DA6CA" w14:textId="262ADB31" w:rsidR="008F14BF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WE-HIC è disponibile in due varianti: con alette continue e con alette discontinue. La versione con alette continue è particolarmente indicata per applicazioni in cui il flusso d'aria definito è chiaramente orientato lungo le alette. La variante con alette discontinue è invece ideale quando non è possibile determinare con precisione i movimenti dell'aria nella configurazione di installazione. I dissipatori di calore per circuiti integrati sono disponibili in dimensioni da 20 × 20 a 40 × 40</w:t>
      </w:r>
      <w:r w:rsidR="00DD5C5D">
        <w:rPr>
          <w:rFonts w:ascii="Arial" w:hAnsi="Arial"/>
          <w:b w:val="0"/>
        </w:rPr>
        <w:t> </w:t>
      </w:r>
      <w:r>
        <w:rPr>
          <w:rFonts w:ascii="Arial" w:hAnsi="Arial"/>
          <w:b w:val="0"/>
        </w:rPr>
        <w:t>mm.</w:t>
      </w:r>
    </w:p>
    <w:p w14:paraId="3D500AB0" w14:textId="7AC8D2E9" w:rsidR="008F14BF" w:rsidRDefault="008F14B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"Offriamo da tempo materiali </w:t>
      </w:r>
      <w:proofErr w:type="spellStart"/>
      <w:r>
        <w:rPr>
          <w:rFonts w:ascii="Arial" w:hAnsi="Arial"/>
          <w:b w:val="0"/>
        </w:rPr>
        <w:t>termoconduttivi</w:t>
      </w:r>
      <w:proofErr w:type="spellEnd"/>
      <w:r>
        <w:rPr>
          <w:rFonts w:ascii="Arial" w:hAnsi="Arial"/>
          <w:b w:val="0"/>
        </w:rPr>
        <w:t xml:space="preserve"> e durante la consulenza di progettazione integrata ai clienti, oltre alla compatibilità elettromagnetica, prestiamo sempre attenzione anche alla gestione della temperatura. È quindi logico per noi ora ampliare il nostro range di prodotti con dissipatori di calore: dopotutto, evitare il surriscaldamento contribuisce alle prestazioni e alla durata dei componenti", spiega Maria Cuesta-Martin, Product Manager EMC </w:t>
      </w:r>
      <w:proofErr w:type="spellStart"/>
      <w:r>
        <w:rPr>
          <w:rFonts w:ascii="Arial" w:hAnsi="Arial"/>
          <w:b w:val="0"/>
        </w:rPr>
        <w:t>Shielding</w:t>
      </w:r>
      <w:proofErr w:type="spellEnd"/>
      <w:r>
        <w:rPr>
          <w:rFonts w:ascii="Arial" w:hAnsi="Arial"/>
          <w:b w:val="0"/>
        </w:rPr>
        <w:t xml:space="preserve"> &amp; Thermal Materials presso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eiSos GmbH &amp; Co. KG.</w:t>
      </w:r>
    </w:p>
    <w:p w14:paraId="1AD17FAC" w14:textId="487F91FE" w:rsidR="00BA2C02" w:rsidRDefault="00BA2C0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lastRenderedPageBreak/>
        <w:t xml:space="preserve">I dissipatori di calore di Würth </w:t>
      </w:r>
      <w:proofErr w:type="spellStart"/>
      <w:r>
        <w:rPr>
          <w:rFonts w:ascii="Arial" w:hAnsi="Arial"/>
          <w:b w:val="0"/>
        </w:rPr>
        <w:t>Elektronik</w:t>
      </w:r>
      <w:proofErr w:type="spellEnd"/>
      <w:r>
        <w:rPr>
          <w:rFonts w:ascii="Arial" w:hAnsi="Arial"/>
          <w:b w:val="0"/>
        </w:rPr>
        <w:t xml:space="preserve"> sono disponibili a magazzino senza limite minimo d'ordine. Su richiesta vengono forniti campioni gratuiti.</w:t>
      </w:r>
    </w:p>
    <w:p w14:paraId="6C4C07A7" w14:textId="77777777" w:rsidR="000D3520" w:rsidRDefault="000D3520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596D0A4" w14:textId="77777777" w:rsidR="00DD5C5D" w:rsidRDefault="00DD5C5D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097287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70BEB381" w14:textId="77777777" w:rsidR="00DD5C5D" w:rsidRPr="00970FD9" w:rsidRDefault="00DD5C5D" w:rsidP="00DD5C5D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5EF95FBD" w14:textId="77777777" w:rsidR="00DD5C5D" w:rsidRPr="00970FD9" w:rsidRDefault="00DD5C5D" w:rsidP="00DD5C5D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598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0"/>
        <w:gridCol w:w="2977"/>
      </w:tblGrid>
      <w:tr w:rsidR="00594AB9" w:rsidRPr="00097287" w14:paraId="32BFF382" w14:textId="77777777" w:rsidTr="00DD5C5D">
        <w:trPr>
          <w:trHeight w:val="1701"/>
        </w:trPr>
        <w:tc>
          <w:tcPr>
            <w:tcW w:w="3010" w:type="dxa"/>
          </w:tcPr>
          <w:p w14:paraId="3ADECC68" w14:textId="3B1530E7" w:rsidR="00594AB9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3701EC41" wp14:editId="4F51B3FB">
                  <wp:extent cx="1800000" cy="1800000"/>
                  <wp:effectExtent l="0" t="0" r="0" b="0"/>
                  <wp:docPr id="1143550246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789D65B6" w14:textId="545EA0D5" w:rsidR="00594AB9" w:rsidRPr="00097287" w:rsidRDefault="00594AB9" w:rsidP="00DD5C5D">
            <w:pPr>
              <w:pStyle w:val="txt"/>
              <w:rPr>
                <w:b/>
              </w:rPr>
            </w:pPr>
            <w:r>
              <w:rPr>
                <w:b/>
                <w:color w:val="auto"/>
                <w:sz w:val="18"/>
              </w:rPr>
              <w:t>I dissipatori WE-HTO sono progettati per modelli TO con tecnologia THT come TO-220 e TO-247. Una lamiera arcuata aumenta la superficie di irraggiamento.</w:t>
            </w:r>
            <w:r>
              <w:rPr>
                <w:b/>
                <w:color w:val="auto"/>
                <w:sz w:val="18"/>
              </w:rPr>
              <w:br/>
            </w:r>
          </w:p>
        </w:tc>
        <w:tc>
          <w:tcPr>
            <w:tcW w:w="2977" w:type="dxa"/>
          </w:tcPr>
          <w:p w14:paraId="000525E4" w14:textId="14882F36" w:rsidR="00594AB9" w:rsidRPr="00097287" w:rsidRDefault="00594AB9" w:rsidP="00DD5C5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0E93B682" wp14:editId="27C86EDC">
                  <wp:extent cx="1800000" cy="1800000"/>
                  <wp:effectExtent l="0" t="0" r="0" b="0"/>
                  <wp:docPr id="211535433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br/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608B3A9F" w14:textId="5E0EF170" w:rsidR="00594AB9" w:rsidRPr="00097287" w:rsidRDefault="00845E14" w:rsidP="00DD5C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Alette di raffreddamento per componenti TO</w:t>
            </w:r>
          </w:p>
          <w:p w14:paraId="4953E689" w14:textId="77777777" w:rsidR="00594AB9" w:rsidRPr="00097287" w:rsidRDefault="00594AB9" w:rsidP="00DD5C5D">
            <w:pPr>
              <w:pStyle w:val="txt"/>
              <w:rPr>
                <w:b/>
              </w:rPr>
            </w:pPr>
          </w:p>
        </w:tc>
      </w:tr>
      <w:tr w:rsidR="00F435FD" w:rsidRPr="00097287" w14:paraId="5E5CD0F0" w14:textId="77777777" w:rsidTr="00DD5C5D">
        <w:trPr>
          <w:trHeight w:val="1701"/>
        </w:trPr>
        <w:tc>
          <w:tcPr>
            <w:tcW w:w="3010" w:type="dxa"/>
          </w:tcPr>
          <w:p w14:paraId="682E23C6" w14:textId="0316669B" w:rsidR="00F435FD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br/>
            </w:r>
            <w:r>
              <w:rPr>
                <w:noProof/>
              </w:rPr>
              <w:drawing>
                <wp:inline distT="0" distB="0" distL="0" distR="0" wp14:anchorId="45BB1D16" wp14:editId="6D2B0E17">
                  <wp:extent cx="1800000" cy="1800000"/>
                  <wp:effectExtent l="0" t="0" r="0" b="0"/>
                  <wp:docPr id="157211995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2062F09C" w14:textId="4D4CDCC0" w:rsidR="00F435FD" w:rsidRDefault="00F435FD" w:rsidP="00DD5C5D">
            <w:pPr>
              <w:pStyle w:val="txt"/>
              <w:rPr>
                <w:noProof/>
              </w:rPr>
            </w:pPr>
            <w:r>
              <w:rPr>
                <w:b/>
                <w:sz w:val="18"/>
              </w:rPr>
              <w:t>WE-HIC con alette continue per applicazioni in cui il flusso d'aria definito è chiaramente orientato lungo le alette.</w:t>
            </w:r>
          </w:p>
        </w:tc>
        <w:tc>
          <w:tcPr>
            <w:tcW w:w="2977" w:type="dxa"/>
          </w:tcPr>
          <w:p w14:paraId="484DAF9F" w14:textId="141BA1AF" w:rsidR="00F435FD" w:rsidRPr="00097287" w:rsidRDefault="00F435FD" w:rsidP="00DD5C5D">
            <w:pPr>
              <w:pStyle w:val="txt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13394B99" wp14:editId="05CEE4C5">
                  <wp:extent cx="1800000" cy="1800000"/>
                  <wp:effectExtent l="0" t="0" r="0" b="0"/>
                  <wp:docPr id="9960946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Foto di: Würth </w:t>
            </w:r>
            <w:proofErr w:type="spellStart"/>
            <w:r>
              <w:rPr>
                <w:sz w:val="16"/>
              </w:rPr>
              <w:t>Elektronik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EB55A7B" w14:textId="17FE1B02" w:rsidR="00F435FD" w:rsidRPr="00DD5C5D" w:rsidRDefault="00F435FD" w:rsidP="00DD5C5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DD5C5D">
              <w:rPr>
                <w:rFonts w:ascii="Arial" w:hAnsi="Arial"/>
                <w:b/>
                <w:sz w:val="18"/>
                <w:szCs w:val="18"/>
              </w:rPr>
              <w:t xml:space="preserve">Alette di raffreddamento per condizioni di flusso d'aria diffuso nella versione con materiale </w:t>
            </w:r>
            <w:proofErr w:type="spellStart"/>
            <w:r w:rsidRPr="00DD5C5D">
              <w:rPr>
                <w:rFonts w:ascii="Arial" w:hAnsi="Arial"/>
                <w:b/>
                <w:sz w:val="18"/>
                <w:szCs w:val="18"/>
              </w:rPr>
              <w:t>termoconduttivo</w:t>
            </w:r>
            <w:proofErr w:type="spellEnd"/>
            <w:r w:rsidR="00DD5C5D" w:rsidRPr="00DD5C5D">
              <w:rPr>
                <w:rFonts w:ascii="Arial" w:hAnsi="Arial"/>
                <w:b/>
                <w:sz w:val="18"/>
                <w:szCs w:val="18"/>
              </w:rPr>
              <w:br/>
            </w:r>
          </w:p>
        </w:tc>
      </w:tr>
    </w:tbl>
    <w:p w14:paraId="388B8CF4" w14:textId="77777777" w:rsidR="00485E6F" w:rsidRDefault="00485E6F" w:rsidP="00485E6F">
      <w:pPr>
        <w:pStyle w:val="PITextkrper"/>
        <w:rPr>
          <w:b/>
          <w:bCs/>
          <w:sz w:val="18"/>
          <w:szCs w:val="18"/>
        </w:rPr>
      </w:pPr>
    </w:p>
    <w:p w14:paraId="7DAAB89C" w14:textId="77777777" w:rsidR="00DD5C5D" w:rsidRDefault="00DD5C5D" w:rsidP="00485E6F">
      <w:pPr>
        <w:pStyle w:val="PITextkrper"/>
        <w:rPr>
          <w:b/>
          <w:bCs/>
          <w:sz w:val="18"/>
          <w:szCs w:val="18"/>
        </w:rPr>
      </w:pPr>
    </w:p>
    <w:p w14:paraId="53889146" w14:textId="77777777" w:rsidR="00DD5C5D" w:rsidRPr="00C27B00" w:rsidRDefault="00DD5C5D" w:rsidP="00485E6F">
      <w:pPr>
        <w:pStyle w:val="PITextkrper"/>
        <w:rPr>
          <w:b/>
          <w:bCs/>
          <w:sz w:val="18"/>
          <w:szCs w:val="18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632FB58A" w14:textId="77777777" w:rsidR="00DD5C5D" w:rsidRPr="00970FD9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</w:t>
      </w:r>
      <w:proofErr w:type="spellStart"/>
      <w:r w:rsidRPr="00970FD9">
        <w:rPr>
          <w:rFonts w:ascii="Arial" w:hAnsi="Arial"/>
        </w:rPr>
        <w:t>Elektronik</w:t>
      </w:r>
      <w:proofErr w:type="spellEnd"/>
      <w:r w:rsidRPr="00970FD9">
        <w:rPr>
          <w:rFonts w:ascii="Arial" w:hAnsi="Arial"/>
        </w:rPr>
        <w:t xml:space="preserve"> eiSos </w:t>
      </w:r>
    </w:p>
    <w:bookmarkEnd w:id="0"/>
    <w:p w14:paraId="38546466" w14:textId="77777777" w:rsidR="00DD5C5D" w:rsidRPr="0033240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produttore di componenti elettronici ed elettromeccanici per il settore dell'elettronica e lo sviluppo delle tecnologie per soluzioni elettroniche orientate al futuro. Würth </w:t>
      </w:r>
      <w:proofErr w:type="spellStart"/>
      <w:r w:rsidRPr="00970FD9">
        <w:rPr>
          <w:rFonts w:ascii="Arial" w:hAnsi="Arial"/>
          <w:b w:val="0"/>
        </w:rPr>
        <w:t>Elektronik</w:t>
      </w:r>
      <w:proofErr w:type="spellEnd"/>
      <w:r w:rsidRPr="00970FD9">
        <w:rPr>
          <w:rFonts w:ascii="Arial" w:hAnsi="Arial"/>
          <w:b w:val="0"/>
        </w:rPr>
        <w:t xml:space="preserve">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189C6643" w14:textId="77777777" w:rsidR="00DD5C5D" w:rsidRPr="0033240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430BDD93" w14:textId="77777777" w:rsidR="00DD5C5D" w:rsidRPr="00900894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394023F3" w14:textId="77777777" w:rsidR="00DD5C5D" w:rsidRPr="004D5027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bookmarkStart w:id="1" w:name="_Hlk39740582"/>
      <w:r w:rsidRPr="00900894">
        <w:rPr>
          <w:rFonts w:ascii="Arial" w:hAnsi="Arial"/>
          <w:b w:val="0"/>
        </w:rPr>
        <w:t xml:space="preserve">Würth </w:t>
      </w:r>
      <w:proofErr w:type="spellStart"/>
      <w:r w:rsidRPr="00900894">
        <w:rPr>
          <w:rFonts w:ascii="Arial" w:hAnsi="Arial"/>
          <w:b w:val="0"/>
        </w:rPr>
        <w:t>Elektronik</w:t>
      </w:r>
      <w:proofErr w:type="spellEnd"/>
      <w:r w:rsidRPr="00900894">
        <w:rPr>
          <w:rFonts w:ascii="Arial" w:hAnsi="Arial"/>
          <w:b w:val="0"/>
        </w:rPr>
        <w:t xml:space="preserve">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</w:t>
      </w:r>
      <w:proofErr w:type="spellStart"/>
      <w:r w:rsidRPr="004D5027">
        <w:rPr>
          <w:rFonts w:ascii="Arial" w:hAnsi="Arial"/>
          <w:b w:val="0"/>
          <w:lang w:val="en-US"/>
        </w:rPr>
        <w:t>registrato</w:t>
      </w:r>
      <w:proofErr w:type="spellEnd"/>
      <w:r w:rsidRPr="004D5027">
        <w:rPr>
          <w:rFonts w:ascii="Arial" w:hAnsi="Arial"/>
          <w:b w:val="0"/>
          <w:lang w:val="en-US"/>
        </w:rPr>
        <w:t xml:space="preserve"> un </w:t>
      </w:r>
      <w:proofErr w:type="spellStart"/>
      <w:r w:rsidRPr="004D5027">
        <w:rPr>
          <w:rFonts w:ascii="Arial" w:hAnsi="Arial"/>
          <w:b w:val="0"/>
          <w:lang w:val="en-US"/>
        </w:rPr>
        <w:t>fatturato</w:t>
      </w:r>
      <w:proofErr w:type="spellEnd"/>
      <w:r w:rsidRPr="004D5027">
        <w:rPr>
          <w:rFonts w:ascii="Arial" w:hAnsi="Arial"/>
          <w:b w:val="0"/>
          <w:lang w:val="en-US"/>
        </w:rPr>
        <w:t xml:space="preserve"> di 1,06 </w:t>
      </w:r>
      <w:proofErr w:type="spellStart"/>
      <w:r w:rsidRPr="004D5027">
        <w:rPr>
          <w:rFonts w:ascii="Arial" w:hAnsi="Arial"/>
          <w:b w:val="0"/>
          <w:lang w:val="en-US"/>
        </w:rPr>
        <w:t>miliardi</w:t>
      </w:r>
      <w:proofErr w:type="spellEnd"/>
      <w:r w:rsidRPr="004D5027">
        <w:rPr>
          <w:rFonts w:ascii="Arial" w:hAnsi="Arial"/>
          <w:b w:val="0"/>
          <w:lang w:val="en-US"/>
        </w:rPr>
        <w:t xml:space="preserve"> di Euro.</w:t>
      </w:r>
    </w:p>
    <w:p w14:paraId="6CAFE90E" w14:textId="77777777" w:rsidR="00DD5C5D" w:rsidRPr="00970FD9" w:rsidRDefault="00DD5C5D" w:rsidP="00DD5C5D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338CBEBD" w14:textId="003EE7F5" w:rsidR="00DD5C5D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 xml:space="preserve">Per ulteriori informazioni consultare il sito </w:t>
      </w:r>
      <w:hyperlink r:id="rId14" w:history="1">
        <w:r w:rsidRPr="00736AB2">
          <w:rPr>
            <w:rStyle w:val="Hyperlink"/>
            <w:rFonts w:ascii="Arial" w:hAnsi="Arial"/>
          </w:rPr>
          <w:t>www.we-online.com</w:t>
        </w:r>
      </w:hyperlink>
    </w:p>
    <w:p w14:paraId="2F4176B7" w14:textId="77777777" w:rsidR="00DD5C5D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DD5C5D" w:rsidRPr="00625C04" w14:paraId="794AF5E0" w14:textId="77777777" w:rsidTr="00266C30">
        <w:tc>
          <w:tcPr>
            <w:tcW w:w="3902" w:type="dxa"/>
            <w:hideMark/>
          </w:tcPr>
          <w:p w14:paraId="49039A90" w14:textId="77777777" w:rsidR="00DD5C5D" w:rsidRPr="00970FD9" w:rsidRDefault="00DD5C5D" w:rsidP="00266C30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2A4D5BA8" w14:textId="77777777" w:rsidR="00DD5C5D" w:rsidRPr="004D5027" w:rsidRDefault="00DD5C5D" w:rsidP="00266C30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</w:t>
            </w:r>
            <w:proofErr w:type="spellStart"/>
            <w:r w:rsidRPr="00970FD9">
              <w:rPr>
                <w:rFonts w:ascii="Arial" w:hAnsi="Arial"/>
                <w:sz w:val="20"/>
              </w:rPr>
              <w:t>Elektronik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</w:t>
            </w:r>
            <w:proofErr w:type="spellStart"/>
            <w:r w:rsidRPr="004D5027">
              <w:rPr>
                <w:rFonts w:ascii="Arial" w:hAnsi="Arial"/>
                <w:sz w:val="20"/>
              </w:rPr>
              <w:t>Strasse</w:t>
            </w:r>
            <w:proofErr w:type="spellEnd"/>
            <w:r w:rsidRPr="004D5027">
              <w:rPr>
                <w:rFonts w:ascii="Arial" w:hAnsi="Arial"/>
                <w:sz w:val="20"/>
              </w:rPr>
              <w:t xml:space="preserve">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74C21199" w14:textId="77777777" w:rsidR="00DD5C5D" w:rsidRPr="0077777E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542A050E" w14:textId="77777777" w:rsidR="00DD5C5D" w:rsidRPr="00625C04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6B10C845" w14:textId="77777777" w:rsidR="00DD5C5D" w:rsidRPr="00625C04" w:rsidRDefault="00DD5C5D" w:rsidP="00266C30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7DDFE544" w14:textId="77777777" w:rsidR="00DD5C5D" w:rsidRPr="00970FD9" w:rsidRDefault="00DD5C5D" w:rsidP="00266C30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116B589E" w14:textId="77777777" w:rsidR="00DD5C5D" w:rsidRPr="00970FD9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proofErr w:type="spellStart"/>
            <w:r w:rsidRPr="00970FD9">
              <w:rPr>
                <w:rFonts w:ascii="Arial" w:hAnsi="Arial"/>
                <w:sz w:val="20"/>
              </w:rPr>
              <w:t>Brunhamstrasse</w:t>
            </w:r>
            <w:proofErr w:type="spellEnd"/>
            <w:r w:rsidRPr="00970FD9">
              <w:rPr>
                <w:rFonts w:ascii="Arial" w:hAnsi="Arial"/>
                <w:sz w:val="20"/>
              </w:rPr>
              <w:t xml:space="preserve">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5E336310" w14:textId="77777777" w:rsidR="00DD5C5D" w:rsidRPr="00970FD9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746C4975" w14:textId="77777777" w:rsidR="00DD5C5D" w:rsidRPr="00625C04" w:rsidRDefault="00DD5C5D" w:rsidP="00266C30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76FC52DB" w14:textId="77777777" w:rsidR="00DD5C5D" w:rsidRPr="00970FD9" w:rsidRDefault="00DD5C5D" w:rsidP="00DD5C5D">
      <w:pPr>
        <w:pStyle w:val="Textkrper"/>
        <w:spacing w:before="120" w:after="120" w:line="276" w:lineRule="auto"/>
        <w:rPr>
          <w:rFonts w:ascii="Arial" w:hAnsi="Arial"/>
        </w:rPr>
      </w:pPr>
    </w:p>
    <w:sectPr w:rsidR="00DD5C5D" w:rsidRPr="00970FD9" w:rsidSect="00CC318F">
      <w:headerReference w:type="default" r:id="rId15"/>
      <w:footerReference w:type="default" r:id="rId16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3AD5" w14:textId="77777777" w:rsidR="00796BF2" w:rsidRDefault="00796BF2">
      <w:r>
        <w:separator/>
      </w:r>
    </w:p>
  </w:endnote>
  <w:endnote w:type="continuationSeparator" w:id="0">
    <w:p w14:paraId="6104DEED" w14:textId="77777777" w:rsidR="00796BF2" w:rsidRDefault="0079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2EF16981" w:rsidR="00D84800" w:rsidRPr="00C437CE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82493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832E68">
      <w:rPr>
        <w:rFonts w:ascii="Arial" w:hAnsi="Arial" w:cs="Arial"/>
        <w:noProof/>
        <w:snapToGrid w:val="0"/>
        <w:sz w:val="16"/>
      </w:rPr>
      <w:t>WTH1PI1744</w:t>
    </w:r>
    <w:r w:rsidR="00DD5C5D">
      <w:rPr>
        <w:rFonts w:ascii="Arial" w:hAnsi="Arial" w:cs="Arial"/>
        <w:noProof/>
        <w:snapToGrid w:val="0"/>
        <w:sz w:val="16"/>
      </w:rPr>
      <w:t>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E99D" w14:textId="77777777" w:rsidR="00796BF2" w:rsidRDefault="00796BF2">
      <w:r>
        <w:separator/>
      </w:r>
    </w:p>
  </w:footnote>
  <w:footnote w:type="continuationSeparator" w:id="0">
    <w:p w14:paraId="4699906E" w14:textId="77777777" w:rsidR="00796BF2" w:rsidRDefault="0079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4"/>
  </w:num>
  <w:num w:numId="2" w16cid:durableId="1599752637">
    <w:abstractNumId w:val="1"/>
  </w:num>
  <w:num w:numId="3" w16cid:durableId="738984141">
    <w:abstractNumId w:val="2"/>
  </w:num>
  <w:num w:numId="4" w16cid:durableId="657422412">
    <w:abstractNumId w:val="3"/>
  </w:num>
  <w:num w:numId="5" w16cid:durableId="78643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364"/>
    <w:rsid w:val="000904AA"/>
    <w:rsid w:val="000909E1"/>
    <w:rsid w:val="000922D4"/>
    <w:rsid w:val="0009455D"/>
    <w:rsid w:val="00097287"/>
    <w:rsid w:val="000A09B0"/>
    <w:rsid w:val="000A13E8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6030"/>
    <w:rsid w:val="000C7562"/>
    <w:rsid w:val="000D1E12"/>
    <w:rsid w:val="000D3520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2BA3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1871"/>
    <w:rsid w:val="0015437A"/>
    <w:rsid w:val="00156439"/>
    <w:rsid w:val="00161F8B"/>
    <w:rsid w:val="0016652E"/>
    <w:rsid w:val="001667CD"/>
    <w:rsid w:val="00180178"/>
    <w:rsid w:val="001845DD"/>
    <w:rsid w:val="00184B2E"/>
    <w:rsid w:val="00190F4E"/>
    <w:rsid w:val="00194043"/>
    <w:rsid w:val="00194988"/>
    <w:rsid w:val="001A2937"/>
    <w:rsid w:val="001A2958"/>
    <w:rsid w:val="001A2CAF"/>
    <w:rsid w:val="001A4BB6"/>
    <w:rsid w:val="001A6221"/>
    <w:rsid w:val="001B0162"/>
    <w:rsid w:val="001B06A2"/>
    <w:rsid w:val="001B2FCE"/>
    <w:rsid w:val="001B3256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4E39"/>
    <w:rsid w:val="0021524E"/>
    <w:rsid w:val="00215586"/>
    <w:rsid w:val="00216AD1"/>
    <w:rsid w:val="00217CC2"/>
    <w:rsid w:val="00217FD0"/>
    <w:rsid w:val="00220558"/>
    <w:rsid w:val="0022152F"/>
    <w:rsid w:val="002241D5"/>
    <w:rsid w:val="00225D7A"/>
    <w:rsid w:val="00226800"/>
    <w:rsid w:val="002329D1"/>
    <w:rsid w:val="0023483C"/>
    <w:rsid w:val="00236438"/>
    <w:rsid w:val="00240A6A"/>
    <w:rsid w:val="00240B51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62C"/>
    <w:rsid w:val="0030188C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2A17"/>
    <w:rsid w:val="00324A6A"/>
    <w:rsid w:val="0032557D"/>
    <w:rsid w:val="00325DE7"/>
    <w:rsid w:val="003375B0"/>
    <w:rsid w:val="00341B97"/>
    <w:rsid w:val="00346E77"/>
    <w:rsid w:val="00347536"/>
    <w:rsid w:val="00347F46"/>
    <w:rsid w:val="00355E1C"/>
    <w:rsid w:val="00356C16"/>
    <w:rsid w:val="00357372"/>
    <w:rsid w:val="003620E2"/>
    <w:rsid w:val="00366479"/>
    <w:rsid w:val="003668D1"/>
    <w:rsid w:val="0037012B"/>
    <w:rsid w:val="00372533"/>
    <w:rsid w:val="00376468"/>
    <w:rsid w:val="00381259"/>
    <w:rsid w:val="003814F9"/>
    <w:rsid w:val="003822CF"/>
    <w:rsid w:val="0038399C"/>
    <w:rsid w:val="00383D0E"/>
    <w:rsid w:val="003851A9"/>
    <w:rsid w:val="00392336"/>
    <w:rsid w:val="003931C1"/>
    <w:rsid w:val="003955B5"/>
    <w:rsid w:val="003962DD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2C97"/>
    <w:rsid w:val="003C3F95"/>
    <w:rsid w:val="003D2B25"/>
    <w:rsid w:val="003D4EDD"/>
    <w:rsid w:val="003E0DA0"/>
    <w:rsid w:val="003E1703"/>
    <w:rsid w:val="003E263B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2DAD"/>
    <w:rsid w:val="004B3468"/>
    <w:rsid w:val="004B4EB2"/>
    <w:rsid w:val="004B5422"/>
    <w:rsid w:val="004B5E02"/>
    <w:rsid w:val="004B60FA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0B7"/>
    <w:rsid w:val="005405B1"/>
    <w:rsid w:val="005421CB"/>
    <w:rsid w:val="00550D3E"/>
    <w:rsid w:val="005538CF"/>
    <w:rsid w:val="005549E4"/>
    <w:rsid w:val="00556A0C"/>
    <w:rsid w:val="00561524"/>
    <w:rsid w:val="005642D6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94AB9"/>
    <w:rsid w:val="005A7BE2"/>
    <w:rsid w:val="005B1179"/>
    <w:rsid w:val="005C06DF"/>
    <w:rsid w:val="005C1020"/>
    <w:rsid w:val="005C1B52"/>
    <w:rsid w:val="005C61CB"/>
    <w:rsid w:val="005C6D6A"/>
    <w:rsid w:val="005D160B"/>
    <w:rsid w:val="005D7454"/>
    <w:rsid w:val="005E1091"/>
    <w:rsid w:val="005E1124"/>
    <w:rsid w:val="005E6D53"/>
    <w:rsid w:val="00604F45"/>
    <w:rsid w:val="0060621A"/>
    <w:rsid w:val="00607616"/>
    <w:rsid w:val="006117DC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4AA8"/>
    <w:rsid w:val="006769A9"/>
    <w:rsid w:val="00676CE8"/>
    <w:rsid w:val="00683D1C"/>
    <w:rsid w:val="00684461"/>
    <w:rsid w:val="006859A2"/>
    <w:rsid w:val="00686779"/>
    <w:rsid w:val="00687137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B75B8"/>
    <w:rsid w:val="006C5F83"/>
    <w:rsid w:val="006D04BD"/>
    <w:rsid w:val="006D0B24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468B"/>
    <w:rsid w:val="0073482F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7EB9"/>
    <w:rsid w:val="00782FF2"/>
    <w:rsid w:val="00783D9B"/>
    <w:rsid w:val="0078774B"/>
    <w:rsid w:val="007913E6"/>
    <w:rsid w:val="00793542"/>
    <w:rsid w:val="00796BF2"/>
    <w:rsid w:val="007A4345"/>
    <w:rsid w:val="007B24FD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2E68"/>
    <w:rsid w:val="00834A7F"/>
    <w:rsid w:val="00837EBF"/>
    <w:rsid w:val="00840B24"/>
    <w:rsid w:val="00845E14"/>
    <w:rsid w:val="008479A8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30D4"/>
    <w:rsid w:val="00886681"/>
    <w:rsid w:val="008866CB"/>
    <w:rsid w:val="00887768"/>
    <w:rsid w:val="00892FF0"/>
    <w:rsid w:val="00897B98"/>
    <w:rsid w:val="008A2AFC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14BF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5E75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0B4A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45B0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A02CED"/>
    <w:rsid w:val="00A03564"/>
    <w:rsid w:val="00A037C6"/>
    <w:rsid w:val="00A0392E"/>
    <w:rsid w:val="00A06FFA"/>
    <w:rsid w:val="00A13E4A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891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4BFE"/>
    <w:rsid w:val="00AA633E"/>
    <w:rsid w:val="00AA6E73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5F27"/>
    <w:rsid w:val="00B66573"/>
    <w:rsid w:val="00B6690A"/>
    <w:rsid w:val="00B67314"/>
    <w:rsid w:val="00B737D3"/>
    <w:rsid w:val="00B74D5C"/>
    <w:rsid w:val="00B757F2"/>
    <w:rsid w:val="00B8501E"/>
    <w:rsid w:val="00B86797"/>
    <w:rsid w:val="00B911CF"/>
    <w:rsid w:val="00B945A9"/>
    <w:rsid w:val="00B94DAE"/>
    <w:rsid w:val="00B9589D"/>
    <w:rsid w:val="00BA04FB"/>
    <w:rsid w:val="00BA19ED"/>
    <w:rsid w:val="00BA2BD7"/>
    <w:rsid w:val="00BA2C02"/>
    <w:rsid w:val="00BB2804"/>
    <w:rsid w:val="00BB555E"/>
    <w:rsid w:val="00BB5897"/>
    <w:rsid w:val="00BB741C"/>
    <w:rsid w:val="00BC1F54"/>
    <w:rsid w:val="00BC356F"/>
    <w:rsid w:val="00BC74C8"/>
    <w:rsid w:val="00BD0BC8"/>
    <w:rsid w:val="00BD2843"/>
    <w:rsid w:val="00BD2B26"/>
    <w:rsid w:val="00BD5A97"/>
    <w:rsid w:val="00BD5EAF"/>
    <w:rsid w:val="00BE5C1A"/>
    <w:rsid w:val="00BE7ED0"/>
    <w:rsid w:val="00BF09CC"/>
    <w:rsid w:val="00C036DC"/>
    <w:rsid w:val="00C10188"/>
    <w:rsid w:val="00C17CED"/>
    <w:rsid w:val="00C279D5"/>
    <w:rsid w:val="00C27B00"/>
    <w:rsid w:val="00C317DF"/>
    <w:rsid w:val="00C34A33"/>
    <w:rsid w:val="00C351B8"/>
    <w:rsid w:val="00C37312"/>
    <w:rsid w:val="00C40959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6EA4"/>
    <w:rsid w:val="00C8403A"/>
    <w:rsid w:val="00C87944"/>
    <w:rsid w:val="00C9372B"/>
    <w:rsid w:val="00C9434E"/>
    <w:rsid w:val="00CB06BF"/>
    <w:rsid w:val="00CB56BA"/>
    <w:rsid w:val="00CB601B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7EE"/>
    <w:rsid w:val="00CF7932"/>
    <w:rsid w:val="00D10313"/>
    <w:rsid w:val="00D10A7D"/>
    <w:rsid w:val="00D11C40"/>
    <w:rsid w:val="00D124AD"/>
    <w:rsid w:val="00D23260"/>
    <w:rsid w:val="00D261A7"/>
    <w:rsid w:val="00D3047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D5C5D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FF1"/>
    <w:rsid w:val="00E21D22"/>
    <w:rsid w:val="00E235A7"/>
    <w:rsid w:val="00E27071"/>
    <w:rsid w:val="00E277BA"/>
    <w:rsid w:val="00E3345B"/>
    <w:rsid w:val="00E410C6"/>
    <w:rsid w:val="00E41C6B"/>
    <w:rsid w:val="00E43B35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19FD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04C1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0FA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4F24"/>
    <w:rsid w:val="00F1580B"/>
    <w:rsid w:val="00F17D61"/>
    <w:rsid w:val="00F2437A"/>
    <w:rsid w:val="00F26A7D"/>
    <w:rsid w:val="00F27950"/>
    <w:rsid w:val="00F34F46"/>
    <w:rsid w:val="00F435FD"/>
    <w:rsid w:val="00F55A20"/>
    <w:rsid w:val="00F61086"/>
    <w:rsid w:val="00F61BC9"/>
    <w:rsid w:val="00F630C4"/>
    <w:rsid w:val="00F633C4"/>
    <w:rsid w:val="00F7288A"/>
    <w:rsid w:val="00F74E4F"/>
    <w:rsid w:val="00F9549B"/>
    <w:rsid w:val="00FA02BD"/>
    <w:rsid w:val="00FA0A2F"/>
    <w:rsid w:val="00FA19AC"/>
    <w:rsid w:val="00FA3D93"/>
    <w:rsid w:val="00FA4024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94AB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D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tm/thermal-heat-sinks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hyperlink" Target="http://www.we-onlin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5508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3</cp:revision>
  <cp:lastPrinted>2017-06-23T08:32:00Z</cp:lastPrinted>
  <dcterms:created xsi:type="dcterms:W3CDTF">2026-03-31T08:25:00Z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