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COMMUNIQUÉ DE PRESSE</w:t>
      </w:r>
    </w:p>
    <w:p w14:paraId="59879415" w14:textId="5867D8F8" w:rsidR="00485E6F" w:rsidRPr="00944A14" w:rsidRDefault="00881C8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lance son programme de partenariat</w:t>
      </w:r>
    </w:p>
    <w:p w14:paraId="4148C797" w14:textId="673E954E" w:rsidR="00485E6F" w:rsidRPr="00944A14" w:rsidRDefault="00881C88"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Ensemble sur la voie de l’innovation</w:t>
      </w:r>
    </w:p>
    <w:p w14:paraId="472F5B16" w14:textId="615AED3F" w:rsidR="00303737" w:rsidRPr="007E7C62"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5A41D1">
        <w:rPr>
          <w:rFonts w:ascii="Arial" w:hAnsi="Arial"/>
          <w:color w:val="000000"/>
        </w:rPr>
        <w:t xml:space="preserve"> (Allemagne)</w:t>
      </w:r>
      <w:r>
        <w:rPr>
          <w:rFonts w:ascii="Arial" w:hAnsi="Arial"/>
          <w:color w:val="000000"/>
        </w:rPr>
        <w:t xml:space="preserve">, </w:t>
      </w:r>
      <w:r w:rsidR="00CC07AC">
        <w:rPr>
          <w:rFonts w:ascii="Arial" w:hAnsi="Arial"/>
          <w:color w:val="000000"/>
        </w:rPr>
        <w:t xml:space="preserve">le </w:t>
      </w:r>
      <w:r w:rsidR="005A41D1" w:rsidRPr="005A41D1">
        <w:rPr>
          <w:rFonts w:ascii="Arial" w:hAnsi="Arial"/>
          <w:color w:val="000000"/>
        </w:rPr>
        <w:t>5 février</w:t>
      </w:r>
      <w:r>
        <w:rPr>
          <w:rFonts w:ascii="Arial" w:hAnsi="Arial"/>
          <w:color w:val="000000"/>
        </w:rPr>
        <w:t xml:space="preserve"> 202</w:t>
      </w:r>
      <w:r w:rsidR="005A41D1">
        <w:rPr>
          <w:rFonts w:ascii="Arial" w:hAnsi="Arial"/>
          <w:color w:val="000000"/>
        </w:rPr>
        <w:t>6</w:t>
      </w:r>
      <w:r>
        <w:rPr>
          <w:rFonts w:ascii="Arial" w:hAnsi="Arial"/>
          <w:color w:val="000000"/>
        </w:rPr>
        <w:t xml:space="preserve"> – Würth Elektronik, fabricant de composants passifs, a lancé son nouveau programme de partenariat lors d’un événement inaugural organisé chez son partenaire Premium Texas Instruments. Le modèle à trois échelons offre un soutien clairement structuré aux entreprises participante</w:t>
      </w:r>
      <w:r w:rsidR="009645BD">
        <w:rPr>
          <w:rFonts w:ascii="Arial" w:hAnsi="Arial"/>
          <w:color w:val="000000"/>
        </w:rPr>
        <w:t>, reposant sur quatre piliers</w:t>
      </w:r>
      <w:r>
        <w:rPr>
          <w:rFonts w:ascii="Arial" w:hAnsi="Arial"/>
          <w:color w:val="000000"/>
        </w:rPr>
        <w:t xml:space="preserve">. </w:t>
      </w:r>
    </w:p>
    <w:p w14:paraId="21A7EFC9" w14:textId="3BE70506" w:rsidR="00676E88" w:rsidRDefault="00881C88" w:rsidP="00303737">
      <w:pPr>
        <w:pStyle w:val="Textkrper"/>
        <w:spacing w:before="120" w:after="120" w:line="260" w:lineRule="exact"/>
        <w:jc w:val="both"/>
        <w:rPr>
          <w:rFonts w:ascii="Arial" w:hAnsi="Arial"/>
          <w:b w:val="0"/>
          <w:bCs w:val="0"/>
        </w:rPr>
      </w:pPr>
      <w:r>
        <w:rPr>
          <w:rFonts w:ascii="Arial" w:hAnsi="Arial"/>
          <w:b w:val="0"/>
        </w:rPr>
        <w:t xml:space="preserve">« Plus que jamais, les partenariats offrent la possibilité d’accélérer l’innovation grâce </w:t>
      </w:r>
      <w:r w:rsidR="009645BD">
        <w:rPr>
          <w:rFonts w:ascii="Arial" w:hAnsi="Arial"/>
          <w:b w:val="0"/>
        </w:rPr>
        <w:t>aux</w:t>
      </w:r>
      <w:r>
        <w:rPr>
          <w:rFonts w:ascii="Arial" w:hAnsi="Arial"/>
          <w:b w:val="0"/>
        </w:rPr>
        <w:t xml:space="preserve"> synergies et de façonner activement l’avenir ensemble », souligne Alexander Gerfer, directeur technique du groupe Würth Elektronik eiSos. « Nous avons lancé notre programme de partenariat afin de créer un écosystème d’innovation dynamique et à forte croissance dans l’industrie électronique. » Le programme a été officiellement présenté lors d’un événement de lancement fin septembre, </w:t>
      </w:r>
      <w:r w:rsidR="009645BD">
        <w:rPr>
          <w:rFonts w:ascii="Arial" w:hAnsi="Arial"/>
          <w:b w:val="0"/>
        </w:rPr>
        <w:t>au cours duquel</w:t>
      </w:r>
      <w:r>
        <w:rPr>
          <w:rFonts w:ascii="Arial" w:hAnsi="Arial"/>
          <w:b w:val="0"/>
        </w:rPr>
        <w:t xml:space="preserve"> Texas Instruments a été présenté comme</w:t>
      </w:r>
      <w:r w:rsidR="009645BD">
        <w:rPr>
          <w:rFonts w:ascii="Arial" w:hAnsi="Arial"/>
          <w:b w:val="0"/>
        </w:rPr>
        <w:t xml:space="preserve"> </w:t>
      </w:r>
      <w:r>
        <w:rPr>
          <w:rFonts w:ascii="Arial" w:hAnsi="Arial"/>
          <w:b w:val="0"/>
        </w:rPr>
        <w:t xml:space="preserve">premier partenaire Premium. Le fabricant mondial de semi-conducteurs Nexperia s’est </w:t>
      </w:r>
      <w:r w:rsidR="009645BD">
        <w:rPr>
          <w:rFonts w:ascii="Arial" w:hAnsi="Arial"/>
          <w:b w:val="0"/>
        </w:rPr>
        <w:t xml:space="preserve">également </w:t>
      </w:r>
      <w:r>
        <w:rPr>
          <w:rFonts w:ascii="Arial" w:hAnsi="Arial"/>
          <w:b w:val="0"/>
        </w:rPr>
        <w:t>t</w:t>
      </w:r>
      <w:r w:rsidR="009645BD">
        <w:rPr>
          <w:rFonts w:ascii="Arial" w:hAnsi="Arial"/>
          <w:b w:val="0"/>
        </w:rPr>
        <w:t>engagé</w:t>
      </w:r>
      <w:r>
        <w:rPr>
          <w:rFonts w:ascii="Arial" w:hAnsi="Arial"/>
          <w:b w:val="0"/>
        </w:rPr>
        <w:t xml:space="preserve"> en tant que partenaire Silver.</w:t>
      </w:r>
    </w:p>
    <w:p w14:paraId="15783A75" w14:textId="633F14E2" w:rsidR="00303737" w:rsidRPr="00676E88" w:rsidRDefault="00676E88" w:rsidP="00303737">
      <w:pPr>
        <w:pStyle w:val="Textkrper"/>
        <w:spacing w:before="120" w:after="120" w:line="260" w:lineRule="exact"/>
        <w:jc w:val="both"/>
        <w:rPr>
          <w:rFonts w:ascii="Arial" w:hAnsi="Arial"/>
          <w:bCs w:val="0"/>
        </w:rPr>
      </w:pPr>
      <w:r>
        <w:rPr>
          <w:rFonts w:ascii="Arial" w:hAnsi="Arial"/>
        </w:rPr>
        <w:t>Trois échelons de partenariat</w:t>
      </w:r>
    </w:p>
    <w:p w14:paraId="311E4F2D" w14:textId="5BE19789" w:rsidR="00215B53" w:rsidRDefault="00215B53" w:rsidP="00676E88">
      <w:pPr>
        <w:pStyle w:val="Textkrper"/>
        <w:spacing w:before="120" w:after="120" w:line="260" w:lineRule="exact"/>
        <w:jc w:val="both"/>
        <w:rPr>
          <w:rFonts w:ascii="Arial" w:hAnsi="Arial"/>
          <w:b w:val="0"/>
          <w:bCs w:val="0"/>
        </w:rPr>
      </w:pPr>
      <w:r>
        <w:rPr>
          <w:rFonts w:ascii="Arial" w:hAnsi="Arial"/>
          <w:b w:val="0"/>
        </w:rPr>
        <w:t xml:space="preserve">Le programme de partenariat Würth Elektronik est divisé en trois échelons. </w:t>
      </w:r>
      <w:r w:rsidR="009645BD">
        <w:rPr>
          <w:rFonts w:ascii="Arial" w:hAnsi="Arial"/>
          <w:b w:val="0"/>
        </w:rPr>
        <w:t>L</w:t>
      </w:r>
      <w:r w:rsidR="009645BD" w:rsidRPr="009645BD">
        <w:rPr>
          <w:rFonts w:ascii="Arial" w:hAnsi="Arial"/>
          <w:b w:val="0"/>
        </w:rPr>
        <w:t>’adhésion est possible moyennant</w:t>
      </w:r>
      <w:r w:rsidR="009645BD">
        <w:rPr>
          <w:rFonts w:ascii="Arial" w:hAnsi="Arial"/>
          <w:b w:val="0"/>
        </w:rPr>
        <w:t xml:space="preserve"> </w:t>
      </w:r>
      <w:r>
        <w:rPr>
          <w:rFonts w:ascii="Arial" w:hAnsi="Arial"/>
          <w:b w:val="0"/>
        </w:rPr>
        <w:t>accord de confidentialité,</w:t>
      </w:r>
      <w:r w:rsidR="009645BD">
        <w:rPr>
          <w:rFonts w:ascii="Arial" w:hAnsi="Arial"/>
          <w:b w:val="0"/>
        </w:rPr>
        <w:t xml:space="preserve"> </w:t>
      </w:r>
      <w:r>
        <w:rPr>
          <w:rFonts w:ascii="Arial" w:hAnsi="Arial"/>
          <w:b w:val="0"/>
        </w:rPr>
        <w:t xml:space="preserve">une licence de marque et un modèle commercial pour y adhérer. Sur la base de critères clairement définis, tels que l’engagement envers la marque, des objectifs de croissance communs et l’intégration des composants Würth Elektronik dans leurs propres conceptions, les entreprises participantes peuvent ensuite </w:t>
      </w:r>
      <w:r w:rsidR="009645BD">
        <w:rPr>
          <w:rFonts w:ascii="Arial" w:hAnsi="Arial"/>
          <w:b w:val="0"/>
        </w:rPr>
        <w:t>évoluer</w:t>
      </w:r>
      <w:r>
        <w:rPr>
          <w:rFonts w:ascii="Arial" w:hAnsi="Arial"/>
          <w:b w:val="0"/>
        </w:rPr>
        <w:t xml:space="preserve"> progressivement du niveau d’entrée au statut de partenaire Silver, puis Premium.</w:t>
      </w:r>
    </w:p>
    <w:p w14:paraId="10CCB688" w14:textId="520349E9" w:rsidR="008A3980" w:rsidRPr="008A3980" w:rsidRDefault="008A3980" w:rsidP="00676E88">
      <w:pPr>
        <w:pStyle w:val="Textkrper"/>
        <w:spacing w:before="120" w:after="120" w:line="260" w:lineRule="exact"/>
        <w:jc w:val="both"/>
        <w:rPr>
          <w:rFonts w:ascii="Arial" w:hAnsi="Arial"/>
        </w:rPr>
      </w:pPr>
      <w:r>
        <w:rPr>
          <w:rFonts w:ascii="Arial" w:hAnsi="Arial"/>
        </w:rPr>
        <w:t>Quatre piliers d’assistance</w:t>
      </w:r>
    </w:p>
    <w:p w14:paraId="343882BF" w14:textId="0F2A7DBE" w:rsidR="00676E88" w:rsidRDefault="00676E88" w:rsidP="00676E88">
      <w:pPr>
        <w:pStyle w:val="Textkrper"/>
        <w:spacing w:before="120" w:after="120" w:line="260" w:lineRule="exact"/>
        <w:jc w:val="both"/>
        <w:rPr>
          <w:rFonts w:ascii="Arial" w:hAnsi="Arial"/>
          <w:b w:val="0"/>
          <w:bCs w:val="0"/>
        </w:rPr>
      </w:pPr>
      <w:r>
        <w:rPr>
          <w:rFonts w:ascii="Arial" w:hAnsi="Arial"/>
          <w:b w:val="0"/>
        </w:rPr>
        <w:t>Würth Elektronik propose un programme de service et d’assistance dédié</w:t>
      </w:r>
      <w:r w:rsidR="009645BD">
        <w:rPr>
          <w:rFonts w:ascii="Arial" w:hAnsi="Arial"/>
          <w:b w:val="0"/>
        </w:rPr>
        <w:t>, structuré selon</w:t>
      </w:r>
      <w:r>
        <w:rPr>
          <w:rFonts w:ascii="Arial" w:hAnsi="Arial"/>
          <w:b w:val="0"/>
        </w:rPr>
        <w:t xml:space="preserve"> les trois échelons de partenariat. Il repose sur quatre piliers : assistance technique, produits et outils, assistance marketing, ainsi que transfert de connaissances et formation. Cela permet de créer un réseau hautement performant </w:t>
      </w:r>
      <w:r w:rsidR="009645BD">
        <w:rPr>
          <w:rFonts w:ascii="Arial" w:hAnsi="Arial"/>
          <w:b w:val="0"/>
        </w:rPr>
        <w:t>réunissant</w:t>
      </w:r>
      <w:r>
        <w:rPr>
          <w:rFonts w:ascii="Arial" w:hAnsi="Arial"/>
          <w:b w:val="0"/>
        </w:rPr>
        <w:t xml:space="preserve"> des leaders technologiques, des unités commerciales et des parties prenantes. Les partenaires peuvent ainsi exploiter de nouveaux potentiels de marché, accélérer l’innovation produit et offrir à leurs clients un concept de guichet unique </w:t>
      </w:r>
      <w:r w:rsidR="009645BD">
        <w:rPr>
          <w:rFonts w:ascii="Arial" w:hAnsi="Arial"/>
          <w:b w:val="0"/>
        </w:rPr>
        <w:t>fluide et cohérent</w:t>
      </w:r>
      <w:r>
        <w:rPr>
          <w:rFonts w:ascii="Arial" w:hAnsi="Arial"/>
          <w:b w:val="0"/>
        </w:rPr>
        <w:t>.</w:t>
      </w:r>
    </w:p>
    <w:p w14:paraId="0A3D8CA6" w14:textId="0F350A2A" w:rsidR="00565F6D" w:rsidRPr="00676E88" w:rsidRDefault="00565F6D" w:rsidP="00CC07AC">
      <w:pPr>
        <w:pStyle w:val="Textkrper"/>
        <w:spacing w:before="120" w:after="120" w:line="260" w:lineRule="exact"/>
        <w:jc w:val="both"/>
        <w:rPr>
          <w:rFonts w:ascii="Arial" w:hAnsi="Arial"/>
          <w:b w:val="0"/>
          <w:bCs w:val="0"/>
        </w:rPr>
      </w:pPr>
      <w:r>
        <w:rPr>
          <w:rFonts w:ascii="Arial" w:hAnsi="Arial"/>
          <w:b w:val="0"/>
        </w:rPr>
        <w:t xml:space="preserve">« Fidèles à notre mission de “créer ensemble”, le partenariat est au cœur de notre stratégie de réussite », conclut Alexander Gerfer. « Le développement conjoint, la confiance mutuelle et le succès partagé sont les moteurs de notre croissance continue. Ce programme de partenariat rassemble l’expertise, jette des ponts au </w:t>
      </w:r>
      <w:r>
        <w:rPr>
          <w:rFonts w:ascii="Arial" w:hAnsi="Arial"/>
          <w:b w:val="0"/>
        </w:rPr>
        <w:lastRenderedPageBreak/>
        <w:t>sein de l’industrie et constitue une base solide pour le succès commercial commun. »</w:t>
      </w:r>
    </w:p>
    <w:p w14:paraId="0D0B8B1D" w14:textId="77777777" w:rsidR="00CC07AC" w:rsidRDefault="008A3980" w:rsidP="00CC07AC">
      <w:pPr>
        <w:spacing w:before="120" w:after="120" w:line="260" w:lineRule="exact"/>
        <w:jc w:val="both"/>
        <w:rPr>
          <w:rFonts w:ascii="Arial" w:hAnsi="Arial"/>
          <w:sz w:val="20"/>
        </w:rPr>
      </w:pPr>
      <w:r>
        <w:rPr>
          <w:rFonts w:ascii="Arial" w:hAnsi="Arial"/>
          <w:sz w:val="20"/>
        </w:rPr>
        <w:t>Pour plus d’informations sur le programme de partenariat Würth Elektronik et les possibilités de participation, rendez-vous sur :</w:t>
      </w:r>
    </w:p>
    <w:p w14:paraId="69738283" w14:textId="30FDA0B8" w:rsidR="00565F6D" w:rsidRDefault="008A3980" w:rsidP="00CC07AC">
      <w:pPr>
        <w:spacing w:before="120" w:after="120" w:line="260" w:lineRule="exact"/>
        <w:jc w:val="both"/>
        <w:rPr>
          <w:rFonts w:ascii="Arial" w:hAnsi="Arial" w:cs="Arial"/>
          <w:sz w:val="20"/>
          <w:szCs w:val="20"/>
        </w:rPr>
      </w:pPr>
      <w:hyperlink r:id="rId8" w:history="1">
        <w:r>
          <w:rPr>
            <w:rStyle w:val="Hyperlink"/>
            <w:rFonts w:ascii="Arial" w:hAnsi="Arial"/>
            <w:sz w:val="20"/>
          </w:rPr>
          <w:t>https://www.we-online.com/en/support/collaboration/partner-program</w:t>
        </w:r>
      </w:hyperlink>
    </w:p>
    <w:p w14:paraId="0226BE6F" w14:textId="77777777" w:rsidR="008A3980" w:rsidRDefault="008A3980" w:rsidP="00565F6D">
      <w:pPr>
        <w:rPr>
          <w:rFonts w:ascii="Arial" w:hAnsi="Arial" w:cs="Arial"/>
          <w:sz w:val="20"/>
          <w:szCs w:val="20"/>
        </w:rPr>
      </w:pPr>
    </w:p>
    <w:p w14:paraId="37A11FB4" w14:textId="77777777" w:rsidR="00766FB6" w:rsidRPr="00565F6D" w:rsidRDefault="00766FB6" w:rsidP="00565F6D">
      <w:pPr>
        <w:rPr>
          <w:rFonts w:ascii="Arial" w:hAnsi="Arial" w:cs="Arial"/>
          <w:sz w:val="20"/>
          <w:szCs w:val="20"/>
        </w:rPr>
      </w:pPr>
    </w:p>
    <w:p w14:paraId="7653B424" w14:textId="77777777" w:rsidR="00485E6F" w:rsidRPr="009645BD" w:rsidRDefault="00485E6F" w:rsidP="00485E6F">
      <w:pPr>
        <w:pStyle w:val="PITextkrper"/>
        <w:pBdr>
          <w:top w:val="single" w:sz="4" w:space="1" w:color="auto"/>
        </w:pBdr>
        <w:spacing w:before="240"/>
        <w:rPr>
          <w:b/>
          <w:sz w:val="18"/>
          <w:szCs w:val="18"/>
        </w:rPr>
      </w:pPr>
    </w:p>
    <w:p w14:paraId="5D391FF6" w14:textId="77777777" w:rsidR="005A41D1" w:rsidRPr="0023476F" w:rsidRDefault="005A41D1" w:rsidP="005A41D1">
      <w:pPr>
        <w:spacing w:after="120" w:line="280" w:lineRule="exact"/>
        <w:rPr>
          <w:rFonts w:ascii="Arial" w:hAnsi="Arial" w:cs="Arial"/>
          <w:b/>
          <w:bCs/>
          <w:sz w:val="18"/>
          <w:szCs w:val="18"/>
        </w:rPr>
      </w:pPr>
      <w:r w:rsidRPr="0023476F">
        <w:rPr>
          <w:rFonts w:ascii="Arial" w:hAnsi="Arial"/>
          <w:b/>
          <w:sz w:val="18"/>
        </w:rPr>
        <w:t>Images disponibles</w:t>
      </w:r>
    </w:p>
    <w:p w14:paraId="3C9B88DA" w14:textId="738C0C30" w:rsidR="00485E6F" w:rsidRDefault="005A41D1" w:rsidP="005A41D1">
      <w:pPr>
        <w:spacing w:after="120" w:line="280" w:lineRule="exact"/>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0"/>
      </w:tblGrid>
      <w:tr w:rsidR="00B150EF" w:rsidRPr="00B150EF" w14:paraId="28259281" w14:textId="77777777" w:rsidTr="006D069E">
        <w:trPr>
          <w:trHeight w:val="1701"/>
        </w:trPr>
        <w:tc>
          <w:tcPr>
            <w:tcW w:w="6270" w:type="dxa"/>
          </w:tcPr>
          <w:p w14:paraId="7CAA30F8" w14:textId="3E09B6E1" w:rsidR="00B150EF" w:rsidRPr="00CC07AC" w:rsidRDefault="00B150EF" w:rsidP="00B150EF">
            <w:pPr>
              <w:pStyle w:val="txt"/>
              <w:rPr>
                <w:bCs/>
                <w:sz w:val="16"/>
                <w:szCs w:val="16"/>
              </w:rPr>
            </w:pPr>
            <w:r>
              <w:rPr>
                <w:b/>
              </w:rPr>
              <w:br/>
            </w:r>
            <w:r>
              <w:rPr>
                <w:noProof/>
                <w:sz w:val="18"/>
              </w:rPr>
              <w:drawing>
                <wp:inline distT="0" distB="0" distL="0" distR="0" wp14:anchorId="447234CE" wp14:editId="07C0FF6A">
                  <wp:extent cx="3883678" cy="2088000"/>
                  <wp:effectExtent l="0" t="0" r="2540" b="7620"/>
                  <wp:docPr id="1004039122"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9122" name="Grafik 1" descr="Ein Bild, das Text, Screenshot, Schrift, Zahl enthält.&#10;&#10;KI-generierte Inhalte können fehlerhaft sein."/>
                          <pic:cNvPicPr/>
                        </pic:nvPicPr>
                        <pic:blipFill rotWithShape="1">
                          <a:blip r:embed="rId10"/>
                          <a:srcRect r="2420"/>
                          <a:stretch>
                            <a:fillRect/>
                          </a:stretch>
                        </pic:blipFill>
                        <pic:spPr bwMode="auto">
                          <a:xfrm>
                            <a:off x="0" y="0"/>
                            <a:ext cx="3883678" cy="2088000"/>
                          </a:xfrm>
                          <a:prstGeom prst="rect">
                            <a:avLst/>
                          </a:prstGeom>
                          <a:ln>
                            <a:noFill/>
                          </a:ln>
                          <a:extLst>
                            <a:ext uri="{53640926-AAD7-44D8-BBD7-CCE9431645EC}">
                              <a14:shadowObscured xmlns:a14="http://schemas.microsoft.com/office/drawing/2010/main"/>
                            </a:ext>
                          </a:extLst>
                        </pic:spPr>
                      </pic:pic>
                    </a:graphicData>
                  </a:graphic>
                </wp:inline>
              </w:drawing>
            </w:r>
            <w:r>
              <w:rPr>
                <w:sz w:val="16"/>
              </w:rPr>
              <w:t>Source photo : Würth Elektronik</w:t>
            </w:r>
            <w:r w:rsidR="00CC07AC">
              <w:rPr>
                <w:bCs/>
                <w:sz w:val="16"/>
                <w:szCs w:val="16"/>
              </w:rPr>
              <w:br/>
            </w:r>
            <w:r w:rsidR="00CC07AC">
              <w:rPr>
                <w:bCs/>
                <w:sz w:val="16"/>
                <w:szCs w:val="16"/>
              </w:rPr>
              <w:br/>
            </w:r>
            <w:r>
              <w:rPr>
                <w:b/>
                <w:sz w:val="18"/>
              </w:rPr>
              <w:t>Le programme de partenariat à trois échelons de Würth Elektronik : un</w:t>
            </w:r>
            <w:r w:rsidR="00476A8B">
              <w:rPr>
                <w:b/>
                <w:sz w:val="18"/>
              </w:rPr>
              <w:t> </w:t>
            </w:r>
            <w:r>
              <w:rPr>
                <w:b/>
                <w:sz w:val="18"/>
              </w:rPr>
              <w:t>écosystème d’innovation dynamique dans l’industrie électronique</w:t>
            </w:r>
            <w:r>
              <w:rPr>
                <w:b/>
                <w:sz w:val="18"/>
              </w:rPr>
              <w:br/>
            </w:r>
          </w:p>
        </w:tc>
      </w:tr>
    </w:tbl>
    <w:p w14:paraId="5C0867D6" w14:textId="77777777" w:rsidR="00B150EF" w:rsidRPr="00B150EF" w:rsidRDefault="00B150EF" w:rsidP="00CC07AC">
      <w:pPr>
        <w:rPr>
          <w:rFonts w:ascii="Arial" w:hAnsi="Arial" w:cs="Arial"/>
          <w:sz w:val="18"/>
          <w:szCs w:val="18"/>
        </w:rPr>
      </w:pPr>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0"/>
      </w:tblGrid>
      <w:tr w:rsidR="00485E6F" w:rsidRPr="00944A14" w14:paraId="415A195B" w14:textId="77777777" w:rsidTr="008A3980">
        <w:trPr>
          <w:trHeight w:val="1701"/>
        </w:trPr>
        <w:tc>
          <w:tcPr>
            <w:tcW w:w="6270" w:type="dxa"/>
          </w:tcPr>
          <w:p w14:paraId="5ED23578" w14:textId="5600246F" w:rsidR="00485E6F" w:rsidRPr="00CC07AC" w:rsidRDefault="00485E6F" w:rsidP="00B150EF">
            <w:pPr>
              <w:pStyle w:val="txt"/>
              <w:rPr>
                <w:b/>
                <w:bCs/>
                <w:sz w:val="18"/>
              </w:rPr>
            </w:pPr>
            <w:r>
              <w:rPr>
                <w:b/>
              </w:rPr>
              <w:br/>
            </w:r>
            <w:r>
              <w:rPr>
                <w:noProof/>
                <w:sz w:val="18"/>
              </w:rPr>
              <w:drawing>
                <wp:inline distT="0" distB="0" distL="0" distR="0" wp14:anchorId="57F908BA" wp14:editId="3934F787">
                  <wp:extent cx="3891024" cy="2088000"/>
                  <wp:effectExtent l="0" t="0" r="0" b="7620"/>
                  <wp:docPr id="19423982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8240" name=""/>
                          <pic:cNvPicPr/>
                        </pic:nvPicPr>
                        <pic:blipFill rotWithShape="1">
                          <a:blip r:embed="rId11"/>
                          <a:srcRect l="2954"/>
                          <a:stretch>
                            <a:fillRect/>
                          </a:stretch>
                        </pic:blipFill>
                        <pic:spPr bwMode="auto">
                          <a:xfrm>
                            <a:off x="0" y="0"/>
                            <a:ext cx="3891024" cy="2088000"/>
                          </a:xfrm>
                          <a:prstGeom prst="rect">
                            <a:avLst/>
                          </a:prstGeom>
                          <a:ln>
                            <a:noFill/>
                          </a:ln>
                          <a:extLst>
                            <a:ext uri="{53640926-AAD7-44D8-BBD7-CCE9431645EC}">
                              <a14:shadowObscured xmlns:a14="http://schemas.microsoft.com/office/drawing/2010/main"/>
                            </a:ext>
                          </a:extLst>
                        </pic:spPr>
                      </pic:pic>
                    </a:graphicData>
                  </a:graphic>
                </wp:inline>
              </w:drawing>
            </w:r>
            <w:r>
              <w:rPr>
                <w:sz w:val="16"/>
              </w:rPr>
              <w:t>Source photo : Würth Elektronik</w:t>
            </w:r>
            <w:r w:rsidR="00CC07AC">
              <w:rPr>
                <w:b/>
                <w:bCs/>
                <w:sz w:val="18"/>
              </w:rPr>
              <w:br/>
            </w:r>
            <w:r w:rsidR="00CC07AC">
              <w:rPr>
                <w:b/>
                <w:bCs/>
                <w:sz w:val="18"/>
              </w:rPr>
              <w:br/>
            </w:r>
            <w:r w:rsidR="00B150EF">
              <w:rPr>
                <w:b/>
                <w:sz w:val="18"/>
              </w:rPr>
              <w:t>Programme d’assistance complet : En fonction de leur échelon de partenariat, les participants bénéficient d’une assistance experte dans quatre domaines.</w:t>
            </w:r>
            <w:r w:rsidR="00B150EF">
              <w:rPr>
                <w:b/>
                <w:sz w:val="18"/>
              </w:rPr>
              <w:br/>
            </w:r>
          </w:p>
        </w:tc>
      </w:tr>
    </w:tbl>
    <w:p w14:paraId="22F0765E" w14:textId="77777777" w:rsidR="00766FB6" w:rsidRPr="00944A14" w:rsidRDefault="00766FB6"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61292BEA" w14:textId="77777777" w:rsidR="005A41D1" w:rsidRPr="0023476F" w:rsidRDefault="005A41D1" w:rsidP="005A41D1">
      <w:pPr>
        <w:pStyle w:val="Textkrper"/>
        <w:spacing w:before="120" w:after="120" w:line="276" w:lineRule="auto"/>
        <w:rPr>
          <w:rFonts w:ascii="Arial" w:hAnsi="Arial"/>
        </w:rPr>
      </w:pPr>
      <w:r w:rsidRPr="0023476F">
        <w:rPr>
          <w:rFonts w:ascii="Arial" w:hAnsi="Arial"/>
        </w:rPr>
        <w:t xml:space="preserve">À propos du groupe Würth Elektronik eiSos </w:t>
      </w:r>
    </w:p>
    <w:p w14:paraId="038695FD" w14:textId="77777777" w:rsidR="005A41D1" w:rsidRDefault="005A41D1" w:rsidP="005A41D1">
      <w:pPr>
        <w:pStyle w:val="Textkrper"/>
        <w:spacing w:before="120" w:after="120" w:line="276" w:lineRule="auto"/>
        <w:jc w:val="both"/>
        <w:rPr>
          <w:rFonts w:ascii="Arial" w:hAnsi="Arial"/>
          <w:b w:val="0"/>
        </w:rPr>
      </w:pPr>
      <w:bookmarkStart w:id="0" w:name="_Hlk529547556"/>
      <w:r w:rsidRPr="002D395C">
        <w:rPr>
          <w:rFonts w:ascii="Arial" w:hAnsi="Arial"/>
          <w:b w:val="0"/>
          <w:lang w:val="en-US"/>
        </w:rPr>
        <w:t>Le groupe Würth Elektronik eiSos est un fabricant de composants électroniques et électromécaniques pour l'industrie électronique et un facilitateur technologique pour des solutions électroniques pionnières.</w:t>
      </w:r>
      <w:bookmarkEnd w:id="0"/>
      <w:r w:rsidRPr="002D395C">
        <w:rPr>
          <w:rFonts w:ascii="Arial" w:hAnsi="Arial"/>
          <w:b w:val="0"/>
          <w:lang w:val="en-US"/>
        </w:rPr>
        <w:t xml:space="preserve"> Würth Elektronik eiSos est l'un des plus grands fabricants européens de composants passifs et est actif dans 50 pays. </w:t>
      </w:r>
      <w:r w:rsidRPr="003645BB">
        <w:rPr>
          <w:rFonts w:ascii="Arial" w:hAnsi="Arial"/>
          <w:b w:val="0"/>
        </w:rPr>
        <w:t>Les sites de production situés en Europe, en Asie et en Amérique du Nord fournissent un nombre croissant de clients dans le monde entier.</w:t>
      </w:r>
    </w:p>
    <w:p w14:paraId="5D34C68D" w14:textId="77777777" w:rsidR="005A41D1" w:rsidRPr="002D395C" w:rsidRDefault="005A41D1" w:rsidP="005A41D1">
      <w:pPr>
        <w:pStyle w:val="Textkrper"/>
        <w:spacing w:before="120" w:after="120" w:line="276" w:lineRule="auto"/>
        <w:jc w:val="both"/>
        <w:rPr>
          <w:rFonts w:ascii="Arial" w:hAnsi="Arial"/>
          <w:b w:val="0"/>
          <w:lang w:val="en-US"/>
        </w:rPr>
      </w:pPr>
      <w:r w:rsidRPr="002D395C">
        <w:rPr>
          <w:rFonts w:ascii="Arial" w:hAnsi="Arial"/>
          <w:b w:val="0"/>
          <w:lang w:val="en-US"/>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4CB1FF8A" w14:textId="77777777" w:rsidR="005A41D1" w:rsidRPr="002D395C" w:rsidRDefault="005A41D1" w:rsidP="005A41D1">
      <w:pPr>
        <w:pStyle w:val="Textkrper"/>
        <w:spacing w:before="120" w:after="120" w:line="276" w:lineRule="auto"/>
        <w:jc w:val="both"/>
        <w:rPr>
          <w:rFonts w:ascii="Arial" w:hAnsi="Arial"/>
          <w:b w:val="0"/>
          <w:lang w:val="en-US"/>
        </w:rPr>
      </w:pPr>
      <w:r w:rsidRPr="002D395C">
        <w:rPr>
          <w:rFonts w:ascii="Arial" w:hAnsi="Arial"/>
          <w:b w:val="0"/>
          <w:lang w:val="en-US"/>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63A535AF" w14:textId="77777777" w:rsidR="005A41D1" w:rsidRPr="002D395C" w:rsidRDefault="005A41D1" w:rsidP="005A41D1">
      <w:pPr>
        <w:pStyle w:val="Textkrper"/>
        <w:spacing w:before="120" w:after="120" w:line="276" w:lineRule="auto"/>
        <w:jc w:val="both"/>
        <w:rPr>
          <w:rFonts w:ascii="Arial" w:hAnsi="Arial"/>
          <w:b w:val="0"/>
          <w:lang w:val="en-US"/>
        </w:rPr>
      </w:pPr>
      <w:r w:rsidRPr="002D395C">
        <w:rPr>
          <w:rFonts w:ascii="Arial" w:hAnsi="Arial"/>
          <w:b w:val="0"/>
          <w:lang w:val="en-US"/>
        </w:rPr>
        <w:t>Würth Elektronik fait partie du groupe Würth, leader mondial sur le marché des techniques d'assemblage et de fixation, et emploie environ 7500 personnes. La société a réalisé un chiffre d'affaires de 1,02 milliard d’euros en 2024.</w:t>
      </w:r>
    </w:p>
    <w:p w14:paraId="540971A2" w14:textId="77777777" w:rsidR="005A41D1" w:rsidRPr="0023476F" w:rsidRDefault="005A41D1" w:rsidP="005A41D1">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095945BF" w14:textId="77777777" w:rsidR="005A41D1" w:rsidRPr="0023476F" w:rsidRDefault="005A41D1" w:rsidP="005A41D1">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A41D1" w:rsidRPr="0023476F" w14:paraId="060CDE73" w14:textId="77777777" w:rsidTr="00BB2199">
        <w:tc>
          <w:tcPr>
            <w:tcW w:w="3902" w:type="dxa"/>
            <w:hideMark/>
          </w:tcPr>
          <w:p w14:paraId="40D56776" w14:textId="77777777" w:rsidR="005A41D1" w:rsidRPr="0023476F" w:rsidRDefault="005A41D1" w:rsidP="00BB2199">
            <w:pPr>
              <w:pStyle w:val="Textkrper"/>
              <w:autoSpaceDE/>
              <w:adjustRightInd/>
              <w:spacing w:before="120" w:after="120" w:line="276" w:lineRule="auto"/>
              <w:rPr>
                <w:b w:val="0"/>
                <w:bCs w:val="0"/>
              </w:rPr>
            </w:pPr>
            <w:r w:rsidRPr="0023476F">
              <w:br w:type="page"/>
            </w:r>
            <w:r w:rsidRPr="0023476F">
              <w:rPr>
                <w:b w:val="0"/>
                <w:bCs w:val="0"/>
              </w:rPr>
              <w:br w:type="page"/>
            </w:r>
          </w:p>
          <w:p w14:paraId="55EEE0C0" w14:textId="77777777" w:rsidR="005A41D1" w:rsidRPr="0023476F" w:rsidRDefault="005A41D1" w:rsidP="00BB2199">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4830F925" w14:textId="77777777" w:rsidR="005A41D1" w:rsidRPr="0023476F" w:rsidRDefault="005A41D1" w:rsidP="00BB2199">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19D2E0A7" w14:textId="77777777" w:rsidR="005A41D1" w:rsidRPr="0023476F" w:rsidRDefault="005A41D1" w:rsidP="00BB2199">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4A0122D6" w14:textId="77777777" w:rsidR="005A41D1" w:rsidRPr="0023476F" w:rsidRDefault="005A41D1" w:rsidP="00BB2199">
            <w:pPr>
              <w:spacing w:before="120" w:after="120" w:line="276" w:lineRule="auto"/>
              <w:rPr>
                <w:rFonts w:ascii="Arial" w:hAnsi="Arial" w:cs="Arial"/>
                <w:bCs/>
                <w:sz w:val="20"/>
              </w:rPr>
            </w:pPr>
            <w:r w:rsidRPr="0023476F">
              <w:rPr>
                <w:rFonts w:ascii="Arial" w:hAnsi="Arial" w:cs="Arial"/>
                <w:bCs/>
                <w:sz w:val="20"/>
              </w:rPr>
              <w:t>www.we-online.com</w:t>
            </w:r>
          </w:p>
          <w:p w14:paraId="28A2401D" w14:textId="77777777" w:rsidR="005A41D1" w:rsidRPr="0023476F" w:rsidRDefault="005A41D1" w:rsidP="00BB2199">
            <w:pPr>
              <w:rPr>
                <w:rFonts w:ascii="Arial" w:hAnsi="Arial" w:cs="Arial"/>
                <w:sz w:val="20"/>
              </w:rPr>
            </w:pPr>
          </w:p>
          <w:p w14:paraId="7382603D" w14:textId="77777777" w:rsidR="005A41D1" w:rsidRPr="0023476F" w:rsidRDefault="005A41D1" w:rsidP="00BB2199">
            <w:pPr>
              <w:rPr>
                <w:rFonts w:ascii="Arial" w:hAnsi="Arial" w:cs="Arial"/>
                <w:sz w:val="20"/>
              </w:rPr>
            </w:pPr>
          </w:p>
        </w:tc>
        <w:tc>
          <w:tcPr>
            <w:tcW w:w="3193" w:type="dxa"/>
            <w:hideMark/>
          </w:tcPr>
          <w:p w14:paraId="6BB2FDD7" w14:textId="77777777" w:rsidR="005A41D1" w:rsidRPr="0023476F" w:rsidRDefault="005A41D1" w:rsidP="00BB2199">
            <w:pPr>
              <w:pStyle w:val="Textkrper"/>
              <w:tabs>
                <w:tab w:val="left" w:pos="1065"/>
              </w:tabs>
              <w:autoSpaceDE/>
              <w:adjustRightInd/>
              <w:spacing w:before="120" w:after="120" w:line="276" w:lineRule="auto"/>
              <w:rPr>
                <w:rFonts w:ascii="Arial" w:hAnsi="Arial"/>
              </w:rPr>
            </w:pPr>
          </w:p>
          <w:p w14:paraId="4CC120B5" w14:textId="77777777" w:rsidR="005A41D1" w:rsidRPr="0023476F" w:rsidRDefault="005A41D1" w:rsidP="00BB2199">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2810A67B" w14:textId="77777777" w:rsidR="005A41D1" w:rsidRPr="0023476F" w:rsidRDefault="005A41D1" w:rsidP="00BB2199">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21CF97A6" w14:textId="77777777" w:rsidR="005A41D1" w:rsidRPr="0023476F" w:rsidRDefault="005A41D1" w:rsidP="00BB2199">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33F9826A" w14:textId="77777777" w:rsidR="005A41D1" w:rsidRPr="0023476F" w:rsidRDefault="005A41D1" w:rsidP="00BB2199">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6DE40F3B" w14:textId="77777777" w:rsidR="005A41D1" w:rsidRPr="009645BD" w:rsidRDefault="005A41D1" w:rsidP="005A41D1">
      <w:pPr>
        <w:pStyle w:val="PITextkrper"/>
        <w:spacing w:before="240"/>
        <w:rPr>
          <w:b/>
          <w:sz w:val="18"/>
          <w:szCs w:val="18"/>
        </w:rPr>
      </w:pPr>
    </w:p>
    <w:sectPr w:rsidR="005A41D1" w:rsidRPr="009645BD"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E0B8" w14:textId="77777777" w:rsidR="002D6464" w:rsidRDefault="002D6464">
      <w:r>
        <w:separator/>
      </w:r>
    </w:p>
  </w:endnote>
  <w:endnote w:type="continuationSeparator" w:id="0">
    <w:p w14:paraId="0BC63F1A" w14:textId="77777777" w:rsidR="002D6464" w:rsidRDefault="002D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4D7482F"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BC6F93">
      <w:rPr>
        <w:rFonts w:ascii="Arial" w:hAnsi="Arial" w:cs="Arial"/>
        <w:snapToGrid w:val="0"/>
        <w:sz w:val="16"/>
      </w:rPr>
      <w:t>WTH1PI1725</w:t>
    </w:r>
    <w:r w:rsidR="005A41D1">
      <w:rPr>
        <w:rFonts w:ascii="Arial" w:hAnsi="Arial" w:cs="Arial"/>
        <w:snapToGrid w:val="0"/>
        <w:sz w:val="16"/>
      </w:rPr>
      <w:t>_fr</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0267" w14:textId="77777777" w:rsidR="002D6464" w:rsidRDefault="002D6464">
      <w:r>
        <w:separator/>
      </w:r>
    </w:p>
  </w:footnote>
  <w:footnote w:type="continuationSeparator" w:id="0">
    <w:p w14:paraId="7F7E46D7" w14:textId="77777777" w:rsidR="002D6464" w:rsidRDefault="002D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131043">
    <w:abstractNumId w:val="4"/>
  </w:num>
  <w:num w:numId="2" w16cid:durableId="665088345">
    <w:abstractNumId w:val="1"/>
  </w:num>
  <w:num w:numId="3" w16cid:durableId="1817256278">
    <w:abstractNumId w:val="2"/>
  </w:num>
  <w:num w:numId="4" w16cid:durableId="161702305">
    <w:abstractNumId w:val="3"/>
  </w:num>
  <w:num w:numId="5" w16cid:durableId="182905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B07"/>
    <w:rsid w:val="000D1E12"/>
    <w:rsid w:val="000D40B1"/>
    <w:rsid w:val="000D4A5F"/>
    <w:rsid w:val="000E023F"/>
    <w:rsid w:val="000E4B87"/>
    <w:rsid w:val="000E5647"/>
    <w:rsid w:val="000E56EE"/>
    <w:rsid w:val="000E61B4"/>
    <w:rsid w:val="000E6F27"/>
    <w:rsid w:val="000E72A3"/>
    <w:rsid w:val="000F4BBA"/>
    <w:rsid w:val="000F7975"/>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617"/>
    <w:rsid w:val="00135811"/>
    <w:rsid w:val="001456DE"/>
    <w:rsid w:val="0014630E"/>
    <w:rsid w:val="0015437A"/>
    <w:rsid w:val="00157145"/>
    <w:rsid w:val="00161F8B"/>
    <w:rsid w:val="0016652E"/>
    <w:rsid w:val="001667CD"/>
    <w:rsid w:val="00172DAD"/>
    <w:rsid w:val="00180178"/>
    <w:rsid w:val="001845DD"/>
    <w:rsid w:val="00184B2E"/>
    <w:rsid w:val="00190F4E"/>
    <w:rsid w:val="00194043"/>
    <w:rsid w:val="00194988"/>
    <w:rsid w:val="001971FA"/>
    <w:rsid w:val="001A2958"/>
    <w:rsid w:val="001A2CAF"/>
    <w:rsid w:val="001A6221"/>
    <w:rsid w:val="001B0162"/>
    <w:rsid w:val="001B06A2"/>
    <w:rsid w:val="001B1B9E"/>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05F2"/>
    <w:rsid w:val="00202AC3"/>
    <w:rsid w:val="00206EC3"/>
    <w:rsid w:val="002132F7"/>
    <w:rsid w:val="002148EF"/>
    <w:rsid w:val="00214A93"/>
    <w:rsid w:val="0021524E"/>
    <w:rsid w:val="00215586"/>
    <w:rsid w:val="00215B53"/>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3958"/>
    <w:rsid w:val="002A7AEE"/>
    <w:rsid w:val="002A7E50"/>
    <w:rsid w:val="002B1C8D"/>
    <w:rsid w:val="002B6C90"/>
    <w:rsid w:val="002B7DDA"/>
    <w:rsid w:val="002C0E0E"/>
    <w:rsid w:val="002C11A6"/>
    <w:rsid w:val="002C2A63"/>
    <w:rsid w:val="002C4F77"/>
    <w:rsid w:val="002C689E"/>
    <w:rsid w:val="002C696C"/>
    <w:rsid w:val="002D18E8"/>
    <w:rsid w:val="002D4194"/>
    <w:rsid w:val="002D646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BAC"/>
    <w:rsid w:val="00355E1C"/>
    <w:rsid w:val="00356C16"/>
    <w:rsid w:val="00357372"/>
    <w:rsid w:val="00366479"/>
    <w:rsid w:val="003668D1"/>
    <w:rsid w:val="0037012B"/>
    <w:rsid w:val="00372533"/>
    <w:rsid w:val="00376468"/>
    <w:rsid w:val="003814F9"/>
    <w:rsid w:val="003822CF"/>
    <w:rsid w:val="0038399C"/>
    <w:rsid w:val="00383D0E"/>
    <w:rsid w:val="003851A9"/>
    <w:rsid w:val="00386682"/>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614"/>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37C2E"/>
    <w:rsid w:val="00441533"/>
    <w:rsid w:val="00444E30"/>
    <w:rsid w:val="0046027E"/>
    <w:rsid w:val="004628C9"/>
    <w:rsid w:val="004646CB"/>
    <w:rsid w:val="00465024"/>
    <w:rsid w:val="004662AE"/>
    <w:rsid w:val="00470FBA"/>
    <w:rsid w:val="00476A8B"/>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360C"/>
    <w:rsid w:val="004C4379"/>
    <w:rsid w:val="004D6CCC"/>
    <w:rsid w:val="004D7301"/>
    <w:rsid w:val="004D78E8"/>
    <w:rsid w:val="004E3A3C"/>
    <w:rsid w:val="004E4F82"/>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65F6D"/>
    <w:rsid w:val="00571E32"/>
    <w:rsid w:val="00572009"/>
    <w:rsid w:val="005724EE"/>
    <w:rsid w:val="00574987"/>
    <w:rsid w:val="005757A4"/>
    <w:rsid w:val="005758B7"/>
    <w:rsid w:val="00577058"/>
    <w:rsid w:val="005770FD"/>
    <w:rsid w:val="00577D8A"/>
    <w:rsid w:val="00581536"/>
    <w:rsid w:val="00584F4C"/>
    <w:rsid w:val="00587F00"/>
    <w:rsid w:val="0059367F"/>
    <w:rsid w:val="005A41D1"/>
    <w:rsid w:val="005A7BE2"/>
    <w:rsid w:val="005C06DF"/>
    <w:rsid w:val="005C1020"/>
    <w:rsid w:val="005C1B52"/>
    <w:rsid w:val="005C42A3"/>
    <w:rsid w:val="005C61CB"/>
    <w:rsid w:val="005C6D6A"/>
    <w:rsid w:val="005D160B"/>
    <w:rsid w:val="005D7454"/>
    <w:rsid w:val="005E0987"/>
    <w:rsid w:val="005E1091"/>
    <w:rsid w:val="005E6D53"/>
    <w:rsid w:val="005F68D7"/>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4911"/>
    <w:rsid w:val="00666284"/>
    <w:rsid w:val="00667A63"/>
    <w:rsid w:val="0067131F"/>
    <w:rsid w:val="00672F2F"/>
    <w:rsid w:val="006769A9"/>
    <w:rsid w:val="00676CE8"/>
    <w:rsid w:val="00676E88"/>
    <w:rsid w:val="006803D9"/>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404C"/>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3112"/>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66FB6"/>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817"/>
    <w:rsid w:val="007F693F"/>
    <w:rsid w:val="008004D3"/>
    <w:rsid w:val="00800A15"/>
    <w:rsid w:val="00805256"/>
    <w:rsid w:val="0081491D"/>
    <w:rsid w:val="0081664E"/>
    <w:rsid w:val="00820DFA"/>
    <w:rsid w:val="00822557"/>
    <w:rsid w:val="00822688"/>
    <w:rsid w:val="00824228"/>
    <w:rsid w:val="00824931"/>
    <w:rsid w:val="00831C63"/>
    <w:rsid w:val="00832040"/>
    <w:rsid w:val="00833664"/>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1C88"/>
    <w:rsid w:val="008830CD"/>
    <w:rsid w:val="00884046"/>
    <w:rsid w:val="00886681"/>
    <w:rsid w:val="008866CB"/>
    <w:rsid w:val="00892FF0"/>
    <w:rsid w:val="00897B98"/>
    <w:rsid w:val="008A2AFC"/>
    <w:rsid w:val="008A3980"/>
    <w:rsid w:val="008A6395"/>
    <w:rsid w:val="008A648E"/>
    <w:rsid w:val="008B0135"/>
    <w:rsid w:val="008B2299"/>
    <w:rsid w:val="008B7643"/>
    <w:rsid w:val="008C4506"/>
    <w:rsid w:val="008C6059"/>
    <w:rsid w:val="008D367B"/>
    <w:rsid w:val="008D3DFC"/>
    <w:rsid w:val="008D4149"/>
    <w:rsid w:val="008D70EF"/>
    <w:rsid w:val="008E0894"/>
    <w:rsid w:val="008E0C0C"/>
    <w:rsid w:val="008E1E5C"/>
    <w:rsid w:val="008E4F43"/>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5BD"/>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4DB2"/>
    <w:rsid w:val="009D5A84"/>
    <w:rsid w:val="009D5D22"/>
    <w:rsid w:val="009E3177"/>
    <w:rsid w:val="009E375E"/>
    <w:rsid w:val="009E448A"/>
    <w:rsid w:val="009F0268"/>
    <w:rsid w:val="009F20DB"/>
    <w:rsid w:val="009F2E8B"/>
    <w:rsid w:val="009F6962"/>
    <w:rsid w:val="00A02CED"/>
    <w:rsid w:val="00A03564"/>
    <w:rsid w:val="00A037C6"/>
    <w:rsid w:val="00A06FFA"/>
    <w:rsid w:val="00A13E4A"/>
    <w:rsid w:val="00A22B86"/>
    <w:rsid w:val="00A2341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587C"/>
    <w:rsid w:val="00B07C1C"/>
    <w:rsid w:val="00B126EF"/>
    <w:rsid w:val="00B12D65"/>
    <w:rsid w:val="00B12E2F"/>
    <w:rsid w:val="00B137FF"/>
    <w:rsid w:val="00B150EF"/>
    <w:rsid w:val="00B165B0"/>
    <w:rsid w:val="00B17B66"/>
    <w:rsid w:val="00B2006F"/>
    <w:rsid w:val="00B22632"/>
    <w:rsid w:val="00B231FF"/>
    <w:rsid w:val="00B249FF"/>
    <w:rsid w:val="00B30138"/>
    <w:rsid w:val="00B35523"/>
    <w:rsid w:val="00B37564"/>
    <w:rsid w:val="00B40F06"/>
    <w:rsid w:val="00B42801"/>
    <w:rsid w:val="00B43755"/>
    <w:rsid w:val="00B4555A"/>
    <w:rsid w:val="00B50499"/>
    <w:rsid w:val="00B5064E"/>
    <w:rsid w:val="00B539FB"/>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25E9"/>
    <w:rsid w:val="00BC356F"/>
    <w:rsid w:val="00BC3F45"/>
    <w:rsid w:val="00BC6F93"/>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13B7"/>
    <w:rsid w:val="00C437CE"/>
    <w:rsid w:val="00C43E68"/>
    <w:rsid w:val="00C47605"/>
    <w:rsid w:val="00C500C5"/>
    <w:rsid w:val="00C5057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07A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61EE"/>
    <w:rsid w:val="00DC57B5"/>
    <w:rsid w:val="00DD1842"/>
    <w:rsid w:val="00DD18C5"/>
    <w:rsid w:val="00DD2023"/>
    <w:rsid w:val="00DD261B"/>
    <w:rsid w:val="00DD39BA"/>
    <w:rsid w:val="00DD42A4"/>
    <w:rsid w:val="00DD517C"/>
    <w:rsid w:val="00DD5276"/>
    <w:rsid w:val="00DE0657"/>
    <w:rsid w:val="00DE5AA0"/>
    <w:rsid w:val="00DE632D"/>
    <w:rsid w:val="00DE67DF"/>
    <w:rsid w:val="00DE7025"/>
    <w:rsid w:val="00DF083B"/>
    <w:rsid w:val="00DF3657"/>
    <w:rsid w:val="00DF4A9A"/>
    <w:rsid w:val="00DF5202"/>
    <w:rsid w:val="00DF5ACA"/>
    <w:rsid w:val="00E016BC"/>
    <w:rsid w:val="00E024C5"/>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694C"/>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219E"/>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2431"/>
    <w:rsid w:val="00F2437A"/>
    <w:rsid w:val="00F26A7D"/>
    <w:rsid w:val="00F27950"/>
    <w:rsid w:val="00F32FEA"/>
    <w:rsid w:val="00F34F46"/>
    <w:rsid w:val="00F55A20"/>
    <w:rsid w:val="00F5777D"/>
    <w:rsid w:val="00F61BC9"/>
    <w:rsid w:val="00F630C4"/>
    <w:rsid w:val="00F633C4"/>
    <w:rsid w:val="00F657EF"/>
    <w:rsid w:val="00F71E75"/>
    <w:rsid w:val="00F7288A"/>
    <w:rsid w:val="00F7329B"/>
    <w:rsid w:val="00F74E4F"/>
    <w:rsid w:val="00F9549B"/>
    <w:rsid w:val="00FA02BD"/>
    <w:rsid w:val="00FA0A2F"/>
    <w:rsid w:val="00FA17D8"/>
    <w:rsid w:val="00FA19AC"/>
    <w:rsid w:val="00FA3D93"/>
    <w:rsid w:val="00FB0CB6"/>
    <w:rsid w:val="00FB417E"/>
    <w:rsid w:val="00FB42F6"/>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8A3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support/collaboration/partner-progr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0A3DC-F969-4D40-BE90-ADD14F57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4656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5371</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2026-02-04T09:33:00Z</dcterms:created>
  <dcterms:modified xsi:type="dcterms:W3CDTF">2026-02-04T11:21:00Z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