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COMUNICATO STAMPA</w:t>
      </w:r>
    </w:p>
    <w:p w14:paraId="59879415" w14:textId="42FD36BE" w:rsidR="00485E6F" w:rsidRPr="00944A14" w:rsidRDefault="003701B1"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pubblica una </w:t>
      </w:r>
      <w:proofErr w:type="spellStart"/>
      <w:r>
        <w:rPr>
          <w:rFonts w:ascii="Arial" w:hAnsi="Arial"/>
          <w:b/>
        </w:rPr>
        <w:t>AppNote</w:t>
      </w:r>
      <w:proofErr w:type="spellEnd"/>
      <w:r>
        <w:rPr>
          <w:rFonts w:ascii="Arial" w:hAnsi="Arial"/>
          <w:b/>
        </w:rPr>
        <w:t xml:space="preserve"> su SEPIC</w:t>
      </w:r>
    </w:p>
    <w:p w14:paraId="4148C797" w14:textId="3E822D06" w:rsidR="00485E6F" w:rsidRPr="00944A14" w:rsidRDefault="00370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Suggerimenti per </w:t>
      </w:r>
      <w:r w:rsidR="0074605F" w:rsidRPr="0074605F">
        <w:rPr>
          <w:rFonts w:ascii="Arial" w:hAnsi="Arial"/>
          <w:b/>
          <w:color w:val="000000"/>
          <w:sz w:val="36"/>
        </w:rPr>
        <w:t>la progettazione</w:t>
      </w:r>
      <w:r>
        <w:rPr>
          <w:rFonts w:ascii="Arial" w:hAnsi="Arial"/>
          <w:b/>
          <w:color w:val="000000"/>
          <w:sz w:val="36"/>
        </w:rPr>
        <w:t xml:space="preserve"> del convertitore SEPIC</w:t>
      </w:r>
    </w:p>
    <w:p w14:paraId="2B4B242B" w14:textId="470EF361" w:rsidR="00F3273D" w:rsidRDefault="00485E6F" w:rsidP="0030373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854113" w:rsidRPr="00854113">
        <w:rPr>
          <w:rFonts w:ascii="Arial" w:hAnsi="Arial"/>
          <w:color w:val="000000"/>
        </w:rPr>
        <w:t>20 agosto</w:t>
      </w:r>
      <w:r>
        <w:rPr>
          <w:rFonts w:ascii="Arial" w:hAnsi="Arial"/>
          <w:color w:val="000000"/>
        </w:rPr>
        <w:t xml:space="preserve"> 2025 – Nella </w:t>
      </w:r>
      <w:hyperlink r:id="rId8" w:history="1">
        <w:r w:rsidRPr="00854113">
          <w:rPr>
            <w:rStyle w:val="Hyperlink"/>
            <w:rFonts w:ascii="Arial" w:hAnsi="Arial"/>
          </w:rPr>
          <w:t>Application Note ANP135</w:t>
        </w:r>
      </w:hyperlink>
      <w:r>
        <w:t xml:space="preserve"> </w:t>
      </w:r>
      <w:r>
        <w:rPr>
          <w:rFonts w:ascii="Arial" w:hAnsi="Arial"/>
          <w:color w:val="000000"/>
        </w:rPr>
        <w:t xml:space="preserve">“Convertitore SEPIC con induttori di potenza accoppiati e disaccoppiati”,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tratta il funzionamento di un convertitore con induttanza primaria single-</w:t>
      </w:r>
      <w:proofErr w:type="spellStart"/>
      <w:r>
        <w:rPr>
          <w:rFonts w:ascii="Arial" w:hAnsi="Arial"/>
          <w:color w:val="000000"/>
        </w:rPr>
        <w:t>ended</w:t>
      </w:r>
      <w:proofErr w:type="spellEnd"/>
      <w:r>
        <w:rPr>
          <w:rFonts w:ascii="Arial" w:hAnsi="Arial"/>
          <w:color w:val="000000"/>
        </w:rPr>
        <w:t xml:space="preserve"> in modalità continua e discontinua (CCM - </w:t>
      </w:r>
      <w:proofErr w:type="spellStart"/>
      <w:r>
        <w:rPr>
          <w:rFonts w:ascii="Arial" w:hAnsi="Arial"/>
          <w:color w:val="000000"/>
        </w:rPr>
        <w:t>continuous</w:t>
      </w:r>
      <w:proofErr w:type="spellEnd"/>
      <w:r>
        <w:rPr>
          <w:rFonts w:ascii="Arial" w:hAnsi="Arial"/>
          <w:color w:val="000000"/>
        </w:rPr>
        <w:t xml:space="preserve"> </w:t>
      </w:r>
      <w:proofErr w:type="spellStart"/>
      <w:r>
        <w:rPr>
          <w:rFonts w:ascii="Arial" w:hAnsi="Arial"/>
          <w:color w:val="000000"/>
        </w:rPr>
        <w:t>conduction</w:t>
      </w:r>
      <w:proofErr w:type="spellEnd"/>
      <w:r>
        <w:rPr>
          <w:rFonts w:ascii="Arial" w:hAnsi="Arial"/>
          <w:color w:val="000000"/>
        </w:rPr>
        <w:t xml:space="preserve"> mode e DCM - </w:t>
      </w:r>
      <w:proofErr w:type="spellStart"/>
      <w:r>
        <w:rPr>
          <w:rFonts w:ascii="Arial" w:hAnsi="Arial"/>
          <w:color w:val="000000"/>
        </w:rPr>
        <w:t>discontinuous</w:t>
      </w:r>
      <w:proofErr w:type="spellEnd"/>
      <w:r>
        <w:rPr>
          <w:rFonts w:ascii="Arial" w:hAnsi="Arial"/>
          <w:color w:val="000000"/>
        </w:rPr>
        <w:t xml:space="preserve"> </w:t>
      </w:r>
      <w:proofErr w:type="spellStart"/>
      <w:r>
        <w:rPr>
          <w:rFonts w:ascii="Arial" w:hAnsi="Arial"/>
          <w:color w:val="000000"/>
        </w:rPr>
        <w:t>conduction</w:t>
      </w:r>
      <w:proofErr w:type="spellEnd"/>
      <w:r>
        <w:rPr>
          <w:rFonts w:ascii="Arial" w:hAnsi="Arial"/>
          <w:color w:val="000000"/>
        </w:rPr>
        <w:t xml:space="preserve"> mode). Il documento di 28 pagine affronta inoltre considerazioni </w:t>
      </w:r>
      <w:r w:rsidR="0074605F" w:rsidRPr="0074605F">
        <w:rPr>
          <w:rFonts w:ascii="Arial" w:hAnsi="Arial"/>
          <w:color w:val="000000"/>
        </w:rPr>
        <w:t>di progettazione e linee guida con particolare attenzione alle induttanze.</w:t>
      </w:r>
    </w:p>
    <w:p w14:paraId="38F2C08D" w14:textId="0A413B9A" w:rsidR="00425725" w:rsidRDefault="00F3273D" w:rsidP="00303737">
      <w:pPr>
        <w:pStyle w:val="Textkrper"/>
        <w:spacing w:before="120" w:after="120" w:line="260" w:lineRule="exact"/>
        <w:jc w:val="both"/>
        <w:rPr>
          <w:rFonts w:ascii="Arial" w:hAnsi="Arial"/>
          <w:b w:val="0"/>
          <w:bCs w:val="0"/>
        </w:rPr>
      </w:pPr>
      <w:r>
        <w:rPr>
          <w:rFonts w:ascii="Arial" w:hAnsi="Arial"/>
          <w:b w:val="0"/>
        </w:rPr>
        <w:t>Il SEPIC (Single-</w:t>
      </w:r>
      <w:proofErr w:type="spellStart"/>
      <w:r>
        <w:rPr>
          <w:rFonts w:ascii="Arial" w:hAnsi="Arial"/>
          <w:b w:val="0"/>
        </w:rPr>
        <w:t>Ended</w:t>
      </w:r>
      <w:proofErr w:type="spellEnd"/>
      <w:r>
        <w:rPr>
          <w:rFonts w:ascii="Arial" w:hAnsi="Arial"/>
          <w:b w:val="0"/>
        </w:rPr>
        <w:t>-</w:t>
      </w:r>
      <w:proofErr w:type="spellStart"/>
      <w:r>
        <w:rPr>
          <w:rFonts w:ascii="Arial" w:hAnsi="Arial"/>
          <w:b w:val="0"/>
        </w:rPr>
        <w:t>Primary</w:t>
      </w:r>
      <w:proofErr w:type="spellEnd"/>
      <w:r>
        <w:rPr>
          <w:rFonts w:ascii="Arial" w:hAnsi="Arial"/>
          <w:b w:val="0"/>
        </w:rPr>
        <w:t>-</w:t>
      </w:r>
      <w:proofErr w:type="spellStart"/>
      <w:r>
        <w:rPr>
          <w:rFonts w:ascii="Arial" w:hAnsi="Arial"/>
          <w:b w:val="0"/>
        </w:rPr>
        <w:t>Inductor</w:t>
      </w:r>
      <w:proofErr w:type="spellEnd"/>
      <w:r>
        <w:rPr>
          <w:rFonts w:ascii="Arial" w:hAnsi="Arial"/>
          <w:b w:val="0"/>
        </w:rPr>
        <w:t>-Converter) è una topologia di convertitore switching non isolato che genera una tensione di uscita che può essere superiore</w:t>
      </w:r>
      <w:r w:rsidR="0074605F" w:rsidRPr="0074605F">
        <w:rPr>
          <w:rFonts w:ascii="Arial" w:hAnsi="Arial"/>
          <w:b w:val="0"/>
        </w:rPr>
        <w:t>, uguale</w:t>
      </w:r>
      <w:r>
        <w:rPr>
          <w:rFonts w:ascii="Arial" w:hAnsi="Arial"/>
          <w:b w:val="0"/>
        </w:rPr>
        <w:t xml:space="preserve"> o inferiore alla tensione di ingresso. Le applicazioni tipiche includono prodotti alimentati a batteria e caricabatterie, sistemi di alimentazione per automobili, inverter fotovoltaici, illuminazione LED offline e stadi di correzione del fattore di potenza. L'</w:t>
      </w:r>
      <w:proofErr w:type="spellStart"/>
      <w:r>
        <w:rPr>
          <w:rFonts w:ascii="Arial" w:hAnsi="Arial"/>
          <w:b w:val="0"/>
        </w:rPr>
        <w:t>AppNote</w:t>
      </w:r>
      <w:proofErr w:type="spellEnd"/>
      <w:r>
        <w:rPr>
          <w:rFonts w:ascii="Arial" w:hAnsi="Arial"/>
          <w:b w:val="0"/>
        </w:rPr>
        <w:t xml:space="preserve"> offre una panoramica dettagliata del convertitore SEPIC, con particolare attenzione alle induttanze.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presta particolare attenzione all'implementazione con un'induttanza accoppiata, come ad esempio </w:t>
      </w:r>
      <w:hyperlink r:id="rId9" w:history="1">
        <w:r>
          <w:rPr>
            <w:rStyle w:val="Hyperlink"/>
            <w:rFonts w:ascii="Arial" w:hAnsi="Arial"/>
            <w:b w:val="0"/>
          </w:rPr>
          <w:t>WE-MCRI</w:t>
        </w:r>
      </w:hyperlink>
      <w:r>
        <w:rPr>
          <w:rFonts w:ascii="Arial" w:hAnsi="Arial"/>
          <w:b w:val="0"/>
        </w:rPr>
        <w:t xml:space="preserve">, compresa l'analisi del controllo della corrente di </w:t>
      </w:r>
      <w:proofErr w:type="spellStart"/>
      <w:r>
        <w:rPr>
          <w:rFonts w:ascii="Arial" w:hAnsi="Arial"/>
          <w:b w:val="0"/>
        </w:rPr>
        <w:t>ripple</w:t>
      </w:r>
      <w:proofErr w:type="spellEnd"/>
      <w:r>
        <w:rPr>
          <w:rFonts w:ascii="Arial" w:hAnsi="Arial"/>
          <w:b w:val="0"/>
        </w:rPr>
        <w:t xml:space="preserve"> e il ruolo chiave dell'induttanza di dispersione per le prestazioni del convertitore. L'analisi è supportata da simulazioni SPICE e misurazioni su un prototipo reale di convertitore </w:t>
      </w:r>
      <w:r w:rsidR="00184DCC">
        <w:rPr>
          <w:rFonts w:ascii="Arial" w:hAnsi="Arial"/>
          <w:b w:val="0"/>
        </w:rPr>
        <w:t>D</w:t>
      </w:r>
      <w:r>
        <w:rPr>
          <w:rFonts w:ascii="Arial" w:hAnsi="Arial"/>
          <w:b w:val="0"/>
        </w:rPr>
        <w:t>C-</w:t>
      </w:r>
      <w:r w:rsidR="00184DCC">
        <w:rPr>
          <w:rFonts w:ascii="Arial" w:hAnsi="Arial"/>
          <w:b w:val="0"/>
        </w:rPr>
        <w:t>D</w:t>
      </w:r>
      <w:r>
        <w:rPr>
          <w:rFonts w:ascii="Arial" w:hAnsi="Arial"/>
          <w:b w:val="0"/>
        </w:rPr>
        <w:t>C SEPIC.</w:t>
      </w:r>
    </w:p>
    <w:p w14:paraId="3A807B6A" w14:textId="1AE10D05" w:rsidR="00425725" w:rsidRPr="00425725" w:rsidRDefault="00425725" w:rsidP="00303737">
      <w:pPr>
        <w:pStyle w:val="Textkrper"/>
        <w:spacing w:before="120" w:after="120" w:line="260" w:lineRule="exact"/>
        <w:jc w:val="both"/>
        <w:rPr>
          <w:rFonts w:ascii="Arial" w:hAnsi="Arial"/>
        </w:rPr>
      </w:pPr>
      <w:r>
        <w:rPr>
          <w:rFonts w:ascii="Arial" w:hAnsi="Arial"/>
        </w:rPr>
        <w:t>Induttanze accoppiate o disaccoppiate</w:t>
      </w:r>
    </w:p>
    <w:p w14:paraId="5509B15A" w14:textId="0B6630C8" w:rsidR="00425725" w:rsidRDefault="00425725" w:rsidP="00303737">
      <w:pPr>
        <w:pStyle w:val="Textkrper"/>
        <w:spacing w:before="120" w:after="120" w:line="260" w:lineRule="exact"/>
        <w:jc w:val="both"/>
        <w:rPr>
          <w:rFonts w:ascii="Arial" w:hAnsi="Arial"/>
          <w:b w:val="0"/>
          <w:bCs w:val="0"/>
        </w:rPr>
      </w:pPr>
      <w:r>
        <w:rPr>
          <w:rFonts w:ascii="Arial" w:hAnsi="Arial"/>
          <w:b w:val="0"/>
        </w:rPr>
        <w:t xml:space="preserve">A differenza delle topologie con una sola induttanza, come </w:t>
      </w:r>
      <w:proofErr w:type="spellStart"/>
      <w:r>
        <w:rPr>
          <w:rFonts w:ascii="Arial" w:hAnsi="Arial"/>
          <w:b w:val="0"/>
        </w:rPr>
        <w:t>buck</w:t>
      </w:r>
      <w:proofErr w:type="spellEnd"/>
      <w:r>
        <w:rPr>
          <w:rFonts w:ascii="Arial" w:hAnsi="Arial"/>
          <w:b w:val="0"/>
        </w:rPr>
        <w:t xml:space="preserve">, </w:t>
      </w:r>
      <w:proofErr w:type="spellStart"/>
      <w:r>
        <w:rPr>
          <w:rFonts w:ascii="Arial" w:hAnsi="Arial"/>
          <w:b w:val="0"/>
        </w:rPr>
        <w:t>boost</w:t>
      </w:r>
      <w:proofErr w:type="spellEnd"/>
      <w:r>
        <w:rPr>
          <w:rFonts w:ascii="Arial" w:hAnsi="Arial"/>
          <w:b w:val="0"/>
        </w:rPr>
        <w:t xml:space="preserve"> o </w:t>
      </w:r>
      <w:proofErr w:type="spellStart"/>
      <w:r>
        <w:rPr>
          <w:rFonts w:ascii="Arial" w:hAnsi="Arial"/>
          <w:b w:val="0"/>
        </w:rPr>
        <w:t>buck-boost</w:t>
      </w:r>
      <w:proofErr w:type="spellEnd"/>
      <w:r>
        <w:rPr>
          <w:rFonts w:ascii="Arial" w:hAnsi="Arial"/>
          <w:b w:val="0"/>
        </w:rPr>
        <w:t xml:space="preserve">, lo stadio di potenza del SEPIC richiede due induttanze. Queste possono essere implementate come induttanze separate non accoppiate o, in alternativa, possono essere realizzate con due avvolgimenti su un nucleo comune come induttanza di potenza accoppiata. Questa struttura non solo riduce il numero di componenti, ma richiede anche una minore induttanza per generare la stessa ampiezza di corrente di </w:t>
      </w:r>
      <w:proofErr w:type="spellStart"/>
      <w:r>
        <w:rPr>
          <w:rFonts w:ascii="Arial" w:hAnsi="Arial"/>
          <w:b w:val="0"/>
        </w:rPr>
        <w:t>ripple</w:t>
      </w:r>
      <w:proofErr w:type="spellEnd"/>
      <w:r>
        <w:rPr>
          <w:rFonts w:ascii="Arial" w:hAnsi="Arial"/>
          <w:b w:val="0"/>
        </w:rPr>
        <w:t xml:space="preserve"> rispetto a una soluzione con induttanze non accoppiate. Inoltre, l'accoppiamento magnetico degli avvolgimenti consente l'implementazione del “</w:t>
      </w:r>
      <w:proofErr w:type="spellStart"/>
      <w:r>
        <w:rPr>
          <w:rFonts w:ascii="Arial" w:hAnsi="Arial"/>
          <w:b w:val="0"/>
        </w:rPr>
        <w:t>ripple</w:t>
      </w:r>
      <w:proofErr w:type="spellEnd"/>
      <w:r>
        <w:rPr>
          <w:rFonts w:ascii="Arial" w:hAnsi="Arial"/>
          <w:b w:val="0"/>
        </w:rPr>
        <w:t xml:space="preserve"> </w:t>
      </w:r>
      <w:proofErr w:type="spellStart"/>
      <w:r>
        <w:rPr>
          <w:rFonts w:ascii="Arial" w:hAnsi="Arial"/>
          <w:b w:val="0"/>
        </w:rPr>
        <w:t>current</w:t>
      </w:r>
      <w:proofErr w:type="spellEnd"/>
      <w:r>
        <w:rPr>
          <w:rFonts w:ascii="Arial" w:hAnsi="Arial"/>
          <w:b w:val="0"/>
        </w:rPr>
        <w:t xml:space="preserve"> steering”. Si tratta di una tecnica che “controlla” la corrente di </w:t>
      </w:r>
      <w:proofErr w:type="spellStart"/>
      <w:r>
        <w:rPr>
          <w:rFonts w:ascii="Arial" w:hAnsi="Arial"/>
          <w:b w:val="0"/>
        </w:rPr>
        <w:t>ripple</w:t>
      </w:r>
      <w:proofErr w:type="spellEnd"/>
      <w:r>
        <w:rPr>
          <w:rFonts w:ascii="Arial" w:hAnsi="Arial"/>
          <w:b w:val="0"/>
        </w:rPr>
        <w:t xml:space="preserve"> dell'avvolgimento di ingresso sull'avvolgimento di uscita, riducendo così il rumore da interferenza elettromagnetica (EMI, </w:t>
      </w:r>
      <w:proofErr w:type="spellStart"/>
      <w:r>
        <w:rPr>
          <w:rFonts w:ascii="Arial" w:hAnsi="Arial"/>
          <w:b w:val="0"/>
        </w:rPr>
        <w:t>Electromagnetic</w:t>
      </w:r>
      <w:proofErr w:type="spellEnd"/>
      <w:r>
        <w:rPr>
          <w:rFonts w:ascii="Arial" w:hAnsi="Arial"/>
          <w:b w:val="0"/>
        </w:rPr>
        <w:t xml:space="preserve"> </w:t>
      </w:r>
      <w:proofErr w:type="spellStart"/>
      <w:r>
        <w:rPr>
          <w:rFonts w:ascii="Arial" w:hAnsi="Arial"/>
          <w:b w:val="0"/>
        </w:rPr>
        <w:t>Interference</w:t>
      </w:r>
      <w:proofErr w:type="spellEnd"/>
      <w:r>
        <w:rPr>
          <w:rFonts w:ascii="Arial" w:hAnsi="Arial"/>
          <w:b w:val="0"/>
        </w:rPr>
        <w:t xml:space="preserve">) legato al cablaggio. È importante comprendere l'impatto dell'induttanza di dispersione sulle prestazioni di un convertitore SEPIC con induttanze accoppiate. In questo caso, una maggiore induttanza di dispersione può effettivamente rappresentare un vantaggio rispetto ai casi </w:t>
      </w:r>
      <w:r>
        <w:rPr>
          <w:rFonts w:ascii="Arial" w:hAnsi="Arial"/>
          <w:b w:val="0"/>
        </w:rPr>
        <w:lastRenderedPageBreak/>
        <w:t xml:space="preserve">usuali", spiega </w:t>
      </w:r>
      <w:proofErr w:type="spellStart"/>
      <w:r>
        <w:rPr>
          <w:rFonts w:ascii="Arial" w:hAnsi="Arial"/>
          <w:b w:val="0"/>
        </w:rPr>
        <w:t>Eleazar</w:t>
      </w:r>
      <w:proofErr w:type="spellEnd"/>
      <w:r>
        <w:rPr>
          <w:rFonts w:ascii="Arial" w:hAnsi="Arial"/>
          <w:b w:val="0"/>
        </w:rPr>
        <w:t xml:space="preserve"> Falco, </w:t>
      </w:r>
      <w:r w:rsidR="0074605F" w:rsidRPr="0074605F">
        <w:rPr>
          <w:rFonts w:ascii="Arial" w:hAnsi="Arial"/>
          <w:b w:val="0"/>
        </w:rPr>
        <w:t xml:space="preserve">Senior </w:t>
      </w:r>
      <w:r>
        <w:rPr>
          <w:rFonts w:ascii="Arial" w:hAnsi="Arial"/>
          <w:b w:val="0"/>
        </w:rPr>
        <w:t xml:space="preserve">Application </w:t>
      </w:r>
      <w:proofErr w:type="spellStart"/>
      <w:r>
        <w:rPr>
          <w:rFonts w:ascii="Arial" w:hAnsi="Arial"/>
          <w:b w:val="0"/>
        </w:rPr>
        <w:t>Engineer</w:t>
      </w:r>
      <w:proofErr w:type="spellEnd"/>
      <w:r>
        <w:rPr>
          <w:rFonts w:ascii="Arial" w:hAnsi="Arial"/>
          <w:b w:val="0"/>
        </w:rPr>
        <w:t xml:space="preserve"> presso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eiSos e autore dell'articolo.</w:t>
      </w:r>
    </w:p>
    <w:p w14:paraId="2E85F3DD" w14:textId="77777777" w:rsidR="00303737" w:rsidRPr="00184DCC"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184DCC" w:rsidRDefault="00485E6F" w:rsidP="00485E6F">
      <w:pPr>
        <w:pStyle w:val="PITextkrper"/>
        <w:pBdr>
          <w:top w:val="single" w:sz="4" w:space="1" w:color="auto"/>
        </w:pBdr>
        <w:spacing w:before="240"/>
        <w:rPr>
          <w:b/>
          <w:sz w:val="18"/>
          <w:szCs w:val="18"/>
        </w:rPr>
      </w:pPr>
    </w:p>
    <w:p w14:paraId="62ADA84B" w14:textId="77777777" w:rsidR="00854113" w:rsidRPr="00970FD9" w:rsidRDefault="00854113" w:rsidP="00854113">
      <w:pPr>
        <w:spacing w:after="120" w:line="280" w:lineRule="exact"/>
        <w:rPr>
          <w:rFonts w:ascii="Arial" w:hAnsi="Arial" w:cs="Arial"/>
          <w:b/>
          <w:bCs/>
          <w:sz w:val="18"/>
          <w:szCs w:val="18"/>
        </w:rPr>
      </w:pPr>
      <w:r w:rsidRPr="00970FD9">
        <w:rPr>
          <w:rFonts w:ascii="Arial" w:hAnsi="Arial"/>
          <w:b/>
          <w:sz w:val="18"/>
        </w:rPr>
        <w:t>Immagini disponibili</w:t>
      </w:r>
    </w:p>
    <w:p w14:paraId="3C9B88DA" w14:textId="5E3E86EA" w:rsidR="00485E6F" w:rsidRPr="00854113" w:rsidRDefault="00854113" w:rsidP="00485E6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5A320371" w14:textId="7412BADB" w:rsidR="00485E6F" w:rsidRPr="00944A14" w:rsidRDefault="00485E6F" w:rsidP="00CE17D6">
            <w:pPr>
              <w:pStyle w:val="txt"/>
              <w:rPr>
                <w:b/>
                <w:bCs/>
                <w:sz w:val="18"/>
              </w:rPr>
            </w:pPr>
            <w:r>
              <w:rPr>
                <w:b/>
              </w:rPr>
              <w:br/>
            </w:r>
            <w:r>
              <w:rPr>
                <w:noProof/>
              </w:rPr>
              <w:drawing>
                <wp:inline distT="0" distB="0" distL="0" distR="0" wp14:anchorId="7BD2D593" wp14:editId="2D52AD09">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BBAF83E" w14:textId="75865220" w:rsidR="00485E6F" w:rsidRPr="00944A14" w:rsidRDefault="00C46F9A" w:rsidP="00CE17D6">
            <w:pPr>
              <w:autoSpaceDE w:val="0"/>
              <w:autoSpaceDN w:val="0"/>
              <w:adjustRightInd w:val="0"/>
              <w:rPr>
                <w:rFonts w:ascii="Arial" w:hAnsi="Arial" w:cs="Arial"/>
                <w:b/>
                <w:sz w:val="18"/>
                <w:szCs w:val="18"/>
              </w:rPr>
            </w:pPr>
            <w:r>
              <w:rPr>
                <w:rFonts w:ascii="Arial" w:hAnsi="Arial"/>
                <w:b/>
                <w:sz w:val="18"/>
              </w:rPr>
              <w:t xml:space="preserve">L'hardware per la nuova Application Note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due prototipi SEPIC, uno con due induttanze (a sinistra) e uno con un'induttanza accoppiata</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388B8CF4" w14:textId="77777777" w:rsidR="00485E6F" w:rsidRPr="00184DCC" w:rsidRDefault="00485E6F" w:rsidP="00485E6F">
      <w:pPr>
        <w:pStyle w:val="PITextkrper"/>
        <w:rPr>
          <w:b/>
          <w:bCs/>
          <w:sz w:val="18"/>
          <w:szCs w:val="18"/>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74D7D366" w14:textId="77777777" w:rsidR="00854113" w:rsidRPr="00970FD9" w:rsidRDefault="00854113" w:rsidP="0085411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16D5E1E0" w14:textId="77777777" w:rsidR="00854113" w:rsidRPr="00332404" w:rsidRDefault="00854113" w:rsidP="00854113">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2646FE8E" w14:textId="77777777" w:rsidR="00854113" w:rsidRPr="00332404" w:rsidRDefault="00854113" w:rsidP="00854113">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0CA05F90" w14:textId="77777777" w:rsidR="00854113" w:rsidRPr="00900894" w:rsidRDefault="00854113" w:rsidP="00854113">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w:t>
      </w:r>
      <w:r w:rsidRPr="00332404">
        <w:rPr>
          <w:rFonts w:ascii="Arial" w:hAnsi="Arial"/>
          <w:b w:val="0"/>
        </w:rPr>
        <w:lastRenderedPageBreak/>
        <w:t xml:space="preserve">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7F7EBFD8" w14:textId="77777777" w:rsidR="00854113" w:rsidRPr="00970FD9" w:rsidRDefault="00854113" w:rsidP="00854113">
      <w:pPr>
        <w:pStyle w:val="Textkrper"/>
        <w:spacing w:before="120" w:after="120" w:line="276" w:lineRule="auto"/>
        <w:jc w:val="both"/>
        <w:rPr>
          <w:rFonts w:ascii="Arial" w:hAnsi="Arial"/>
          <w:b w:val="0"/>
        </w:rPr>
      </w:pPr>
      <w:bookmarkStart w:id="1" w:name="_Hlk39740582"/>
      <w:proofErr w:type="spellStart"/>
      <w:r w:rsidRPr="00900894">
        <w:rPr>
          <w:rFonts w:ascii="Arial" w:hAnsi="Arial"/>
          <w:b w:val="0"/>
        </w:rPr>
        <w:t>Würth</w:t>
      </w:r>
      <w:proofErr w:type="spellEnd"/>
      <w:r w:rsidRPr="00900894">
        <w:rPr>
          <w:rFonts w:ascii="Arial" w:hAnsi="Arial"/>
          <w:b w:val="0"/>
        </w:rPr>
        <w:t xml:space="preserve"> </w:t>
      </w:r>
      <w:proofErr w:type="spellStart"/>
      <w:r w:rsidRPr="00900894">
        <w:rPr>
          <w:rFonts w:ascii="Arial" w:hAnsi="Arial"/>
          <w:b w:val="0"/>
        </w:rPr>
        <w:t>Elektronik</w:t>
      </w:r>
      <w:proofErr w:type="spellEnd"/>
      <w:r w:rsidRPr="00900894">
        <w:rPr>
          <w:rFonts w:ascii="Arial" w:hAnsi="Arial"/>
          <w:b w:val="0"/>
        </w:rPr>
        <w:t xml:space="preserve"> fa parte del gruppo </w:t>
      </w:r>
      <w:proofErr w:type="spellStart"/>
      <w:r w:rsidRPr="00900894">
        <w:rPr>
          <w:rFonts w:ascii="Arial" w:hAnsi="Arial"/>
          <w:b w:val="0"/>
        </w:rPr>
        <w:t>Würth</w:t>
      </w:r>
      <w:proofErr w:type="spellEnd"/>
      <w:r w:rsidRPr="00900894">
        <w:rPr>
          <w:rFonts w:ascii="Arial" w:hAnsi="Arial"/>
          <w:b w:val="0"/>
        </w:rPr>
        <w:t xml:space="preserve">,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3C92CBF0" w14:textId="77777777" w:rsidR="00854113" w:rsidRPr="00970FD9" w:rsidRDefault="00854113" w:rsidP="00854113">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66A68370" w14:textId="77777777" w:rsidR="00854113" w:rsidRPr="00970FD9" w:rsidRDefault="00854113" w:rsidP="00854113">
      <w:pPr>
        <w:pStyle w:val="Textkrper"/>
        <w:spacing w:before="120" w:after="120" w:line="276" w:lineRule="auto"/>
        <w:rPr>
          <w:rFonts w:ascii="Arial" w:hAnsi="Arial"/>
        </w:rPr>
      </w:pPr>
      <w:r w:rsidRPr="00970FD9">
        <w:rPr>
          <w:rFonts w:ascii="Arial" w:hAnsi="Arial"/>
        </w:rPr>
        <w:t>Per ulteriori informazioni consultare il sito www.we-online.com</w:t>
      </w:r>
    </w:p>
    <w:p w14:paraId="1D0D43F2" w14:textId="77777777" w:rsidR="00854113" w:rsidRPr="00970FD9" w:rsidRDefault="00854113" w:rsidP="0085411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54113" w:rsidRPr="00625C04" w14:paraId="46BA1BE1" w14:textId="77777777" w:rsidTr="00D559D2">
        <w:tc>
          <w:tcPr>
            <w:tcW w:w="3902" w:type="dxa"/>
            <w:shd w:val="clear" w:color="auto" w:fill="auto"/>
            <w:hideMark/>
          </w:tcPr>
          <w:p w14:paraId="20F44FBE" w14:textId="77777777" w:rsidR="00854113" w:rsidRPr="00970FD9" w:rsidRDefault="00854113" w:rsidP="00D559D2">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7A3E1AC" w14:textId="77777777" w:rsidR="00854113" w:rsidRPr="00970FD9" w:rsidRDefault="00854113" w:rsidP="00D559D2">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45155F6C" w14:textId="77777777" w:rsidR="00854113" w:rsidRPr="0077777E" w:rsidRDefault="00854113" w:rsidP="00D559D2">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5FFA8734" w14:textId="77777777" w:rsidR="00854113" w:rsidRPr="00625C04" w:rsidRDefault="00854113" w:rsidP="00D559D2">
            <w:pPr>
              <w:spacing w:before="120" w:after="120" w:line="276" w:lineRule="auto"/>
              <w:rPr>
                <w:rFonts w:ascii="Arial" w:hAnsi="Arial" w:cs="Arial"/>
                <w:bCs/>
                <w:sz w:val="20"/>
              </w:rPr>
            </w:pPr>
            <w:r>
              <w:rPr>
                <w:rFonts w:ascii="Arial" w:hAnsi="Arial"/>
                <w:sz w:val="20"/>
              </w:rPr>
              <w:t>www.we-online.com</w:t>
            </w:r>
          </w:p>
          <w:p w14:paraId="2921AEFB" w14:textId="77777777" w:rsidR="00854113" w:rsidRPr="00625C04" w:rsidRDefault="00854113" w:rsidP="00D559D2">
            <w:pPr>
              <w:spacing w:before="120" w:after="120" w:line="276" w:lineRule="auto"/>
              <w:rPr>
                <w:rFonts w:ascii="Arial" w:hAnsi="Arial" w:cs="Arial"/>
                <w:bCs/>
                <w:sz w:val="20"/>
              </w:rPr>
            </w:pPr>
          </w:p>
        </w:tc>
        <w:tc>
          <w:tcPr>
            <w:tcW w:w="3193" w:type="dxa"/>
            <w:shd w:val="clear" w:color="auto" w:fill="auto"/>
            <w:hideMark/>
          </w:tcPr>
          <w:p w14:paraId="0C42ABE7" w14:textId="77777777" w:rsidR="00854113" w:rsidRPr="00970FD9" w:rsidRDefault="00854113" w:rsidP="00D559D2">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4C972CA" w14:textId="77777777" w:rsidR="00854113" w:rsidRPr="00970FD9" w:rsidRDefault="00854113" w:rsidP="00D559D2">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6F45A039" w14:textId="77777777" w:rsidR="00854113" w:rsidRPr="00970FD9" w:rsidRDefault="00854113" w:rsidP="00D559D2">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5D2099D3" w14:textId="77777777" w:rsidR="00854113" w:rsidRPr="00625C04" w:rsidRDefault="00854113" w:rsidP="00D559D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9A90955" w14:textId="77777777" w:rsidR="00854113" w:rsidRPr="00184DCC" w:rsidRDefault="00854113" w:rsidP="00854113">
      <w:pPr>
        <w:pStyle w:val="PITextkrper"/>
        <w:spacing w:before="240"/>
        <w:rPr>
          <w:b/>
          <w:sz w:val="18"/>
          <w:szCs w:val="18"/>
        </w:rPr>
      </w:pPr>
    </w:p>
    <w:sectPr w:rsidR="00854113" w:rsidRPr="00184DCC"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0B47" w14:textId="77777777" w:rsidR="00087599" w:rsidRDefault="00087599">
      <w:r>
        <w:separator/>
      </w:r>
    </w:p>
  </w:endnote>
  <w:endnote w:type="continuationSeparator" w:id="0">
    <w:p w14:paraId="3550EB82" w14:textId="77777777" w:rsidR="00087599" w:rsidRDefault="0008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FB172A5" w:rsidR="00D84800" w:rsidRPr="00184DCC"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rPr>
      <w:fldChar w:fldCharType="begin"/>
    </w:r>
    <w:r w:rsidRPr="00184DCC">
      <w:rPr>
        <w:rFonts w:ascii="Arial" w:hAnsi="Arial" w:cs="Arial"/>
        <w:snapToGrid w:val="0"/>
        <w:sz w:val="16"/>
        <w:lang w:val="en-GB"/>
      </w:rPr>
      <w:instrText xml:space="preserve"> FILENAME  \* MERGEFORMAT </w:instrText>
    </w:r>
    <w:r w:rsidRPr="00A74816">
      <w:rPr>
        <w:rFonts w:ascii="Arial" w:hAnsi="Arial" w:cs="Arial"/>
        <w:snapToGrid w:val="0"/>
        <w:sz w:val="16"/>
      </w:rPr>
      <w:fldChar w:fldCharType="separate"/>
    </w:r>
    <w:r w:rsidR="000A550E" w:rsidRPr="00184DCC">
      <w:rPr>
        <w:rFonts w:ascii="Arial" w:hAnsi="Arial" w:cs="Arial"/>
        <w:snapToGrid w:val="0"/>
        <w:sz w:val="16"/>
        <w:lang w:val="en-GB"/>
      </w:rPr>
      <w:t>WTH1PI1703</w:t>
    </w:r>
    <w:r w:rsidR="00854113">
      <w:rPr>
        <w:rFonts w:ascii="Arial" w:hAnsi="Arial" w:cs="Arial"/>
        <w:snapToGrid w:val="0"/>
        <w:sz w:val="16"/>
        <w:lang w:val="en-GB"/>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22AAE" w14:textId="77777777" w:rsidR="00087599" w:rsidRDefault="00087599">
      <w:r>
        <w:separator/>
      </w:r>
    </w:p>
  </w:footnote>
  <w:footnote w:type="continuationSeparator" w:id="0">
    <w:p w14:paraId="3A0B8255" w14:textId="77777777" w:rsidR="00087599" w:rsidRDefault="0008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599"/>
    <w:rsid w:val="000904AA"/>
    <w:rsid w:val="000909E1"/>
    <w:rsid w:val="0009455D"/>
    <w:rsid w:val="000A09B0"/>
    <w:rsid w:val="000A13E8"/>
    <w:rsid w:val="000A486B"/>
    <w:rsid w:val="000A550E"/>
    <w:rsid w:val="000A70FF"/>
    <w:rsid w:val="000B28AB"/>
    <w:rsid w:val="000B4E60"/>
    <w:rsid w:val="000B56A3"/>
    <w:rsid w:val="000B59CE"/>
    <w:rsid w:val="000B6091"/>
    <w:rsid w:val="000B6B5A"/>
    <w:rsid w:val="000B6F5F"/>
    <w:rsid w:val="000C23E9"/>
    <w:rsid w:val="000C3C4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0719"/>
    <w:rsid w:val="001138B8"/>
    <w:rsid w:val="00114255"/>
    <w:rsid w:val="0011527C"/>
    <w:rsid w:val="00117C29"/>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84DCC"/>
    <w:rsid w:val="00190F4E"/>
    <w:rsid w:val="00194043"/>
    <w:rsid w:val="00194988"/>
    <w:rsid w:val="001A2489"/>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F9D"/>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472B"/>
    <w:rsid w:val="00346E77"/>
    <w:rsid w:val="00347536"/>
    <w:rsid w:val="00347F46"/>
    <w:rsid w:val="00355E1C"/>
    <w:rsid w:val="00356C16"/>
    <w:rsid w:val="00357372"/>
    <w:rsid w:val="00366479"/>
    <w:rsid w:val="003668D1"/>
    <w:rsid w:val="0037012B"/>
    <w:rsid w:val="003701B1"/>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725"/>
    <w:rsid w:val="0042615E"/>
    <w:rsid w:val="004354C6"/>
    <w:rsid w:val="00441533"/>
    <w:rsid w:val="00444E30"/>
    <w:rsid w:val="0045093C"/>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3E8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0D6D"/>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3CA9"/>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605F"/>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16F3"/>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113"/>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2CCA"/>
    <w:rsid w:val="00903880"/>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2B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2973"/>
    <w:rsid w:val="00C437CE"/>
    <w:rsid w:val="00C43E68"/>
    <w:rsid w:val="00C46F9A"/>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0CE"/>
    <w:rsid w:val="00CF7932"/>
    <w:rsid w:val="00D10313"/>
    <w:rsid w:val="00D10A7D"/>
    <w:rsid w:val="00D11C40"/>
    <w:rsid w:val="00D124AD"/>
    <w:rsid w:val="00D16818"/>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510F"/>
    <w:rsid w:val="00F06103"/>
    <w:rsid w:val="00F11AAA"/>
    <w:rsid w:val="00F1272C"/>
    <w:rsid w:val="00F13328"/>
    <w:rsid w:val="00F14F24"/>
    <w:rsid w:val="00F1580B"/>
    <w:rsid w:val="00F2437A"/>
    <w:rsid w:val="00F26A7D"/>
    <w:rsid w:val="00F2706C"/>
    <w:rsid w:val="00F27950"/>
    <w:rsid w:val="00F3273D"/>
    <w:rsid w:val="00F34F46"/>
    <w:rsid w:val="00F55A20"/>
    <w:rsid w:val="00F61BC9"/>
    <w:rsid w:val="00F630C4"/>
    <w:rsid w:val="00F633C4"/>
    <w:rsid w:val="00F7288A"/>
    <w:rsid w:val="00F74E4F"/>
    <w:rsid w:val="00F7592B"/>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052"/>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0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35-sepic-inducto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MCR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2025-08-05T08:57:00Z</dcterms:created>
  <dcterms:modified xsi:type="dcterms:W3CDTF">2025-08-05T08:57:00Z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