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0B402815" w:rsidR="00B4555A" w:rsidRPr="00944A14" w:rsidRDefault="00715BEC" w:rsidP="00B4555A">
      <w:pPr>
        <w:pStyle w:val="berschrift1"/>
        <w:spacing w:before="720" w:after="720" w:line="260" w:lineRule="exact"/>
        <w:rPr>
          <w:sz w:val="20"/>
        </w:rPr>
      </w:pPr>
      <w:r>
        <w:rPr>
          <w:sz w:val="20"/>
        </w:rPr>
        <w:t>PRESS RELEASE</w:t>
      </w:r>
    </w:p>
    <w:p w14:paraId="59879415" w14:textId="42FD36BE" w:rsidR="00485E6F" w:rsidRPr="00944A14" w:rsidRDefault="003701B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publishes its </w:t>
      </w:r>
      <w:proofErr w:type="spellStart"/>
      <w:r>
        <w:rPr>
          <w:rFonts w:ascii="Arial" w:hAnsi="Arial"/>
          <w:b/>
        </w:rPr>
        <w:t>AppNote</w:t>
      </w:r>
      <w:proofErr w:type="spellEnd"/>
      <w:r>
        <w:rPr>
          <w:rFonts w:ascii="Arial" w:hAnsi="Arial"/>
          <w:b/>
        </w:rPr>
        <w:t xml:space="preserve"> on SEPIC</w:t>
      </w:r>
    </w:p>
    <w:p w14:paraId="4148C797" w14:textId="57046731" w:rsidR="00485E6F" w:rsidRPr="00944A14" w:rsidRDefault="003701B1"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Tips for</w:t>
      </w:r>
      <w:r w:rsidR="00CA0BF9">
        <w:rPr>
          <w:rFonts w:ascii="Arial" w:hAnsi="Arial"/>
          <w:b/>
          <w:color w:val="000000"/>
          <w:sz w:val="36"/>
        </w:rPr>
        <w:t xml:space="preserve"> Designing</w:t>
      </w:r>
      <w:r>
        <w:rPr>
          <w:rFonts w:ascii="Arial" w:hAnsi="Arial"/>
          <w:b/>
          <w:color w:val="000000"/>
          <w:sz w:val="36"/>
        </w:rPr>
        <w:t xml:space="preserve"> SEPIC Converters</w:t>
      </w:r>
    </w:p>
    <w:p w14:paraId="2B4B242B" w14:textId="755C1AF0" w:rsidR="00F3273D" w:rsidRDefault="00485E6F" w:rsidP="00303737">
      <w:pPr>
        <w:pStyle w:val="Textkrper"/>
        <w:spacing w:before="120" w:after="120" w:line="260" w:lineRule="exact"/>
        <w:jc w:val="both"/>
        <w:rPr>
          <w:rFonts w:ascii="Arial" w:hAnsi="Arial"/>
          <w:color w:val="000000"/>
        </w:rPr>
      </w:pPr>
      <w:r>
        <w:rPr>
          <w:rFonts w:ascii="Arial" w:hAnsi="Arial"/>
          <w:color w:val="000000"/>
        </w:rPr>
        <w:t>Waldenburg</w:t>
      </w:r>
      <w:r w:rsidR="00715BEC">
        <w:rPr>
          <w:rFonts w:ascii="Arial" w:hAnsi="Arial"/>
          <w:color w:val="000000"/>
        </w:rPr>
        <w:t xml:space="preserve"> (</w:t>
      </w:r>
      <w:r>
        <w:rPr>
          <w:rFonts w:ascii="Arial" w:hAnsi="Arial"/>
          <w:color w:val="000000"/>
        </w:rPr>
        <w:t>Germany</w:t>
      </w:r>
      <w:r w:rsidR="00715BEC">
        <w:rPr>
          <w:rFonts w:ascii="Arial" w:hAnsi="Arial"/>
          <w:color w:val="000000"/>
        </w:rPr>
        <w:t>)</w:t>
      </w:r>
      <w:r>
        <w:rPr>
          <w:rFonts w:ascii="Arial" w:hAnsi="Arial"/>
          <w:color w:val="000000"/>
        </w:rPr>
        <w:t xml:space="preserve">, </w:t>
      </w:r>
      <w:r w:rsidR="007A1568" w:rsidRPr="007A1568">
        <w:rPr>
          <w:rFonts w:ascii="Arial" w:hAnsi="Arial"/>
          <w:color w:val="000000"/>
        </w:rPr>
        <w:t>August 20</w:t>
      </w:r>
      <w:r>
        <w:rPr>
          <w:rFonts w:ascii="Arial" w:hAnsi="Arial"/>
          <w:color w:val="000000"/>
        </w:rPr>
        <w:t xml:space="preserve">, 2025 – </w:t>
      </w:r>
      <w:r w:rsidRPr="000815D2">
        <w:rPr>
          <w:rFonts w:ascii="Arial" w:hAnsi="Arial"/>
          <w:color w:val="000000"/>
        </w:rPr>
        <w:t xml:space="preserve">In </w:t>
      </w:r>
      <w:hyperlink r:id="rId8" w:history="1">
        <w:r w:rsidRPr="000815D2">
          <w:rPr>
            <w:rStyle w:val="Hyperlink"/>
            <w:rFonts w:ascii="Arial" w:hAnsi="Arial"/>
          </w:rPr>
          <w:t>Application Note ANP135</w:t>
        </w:r>
      </w:hyperlink>
      <w:r w:rsidRPr="000815D2">
        <w:rPr>
          <w:rFonts w:ascii="Arial" w:hAnsi="Arial"/>
          <w:color w:val="000000"/>
        </w:rPr>
        <w:t xml:space="preserve"> “</w:t>
      </w:r>
      <w:r>
        <w:rPr>
          <w:rFonts w:ascii="Arial" w:hAnsi="Arial"/>
          <w:color w:val="000000"/>
        </w:rPr>
        <w:t xml:space="preserve">The SEPIC with coupled and uncoupled inductors”, Würth Elektronik addresses the operation of a Single-Ended Primary-Inductor-Converter (SEPIC) in both continuous and discontinuous conduction modes (CCM and DCM). The 28-page document also </w:t>
      </w:r>
      <w:r w:rsidR="0089091D">
        <w:rPr>
          <w:rFonts w:ascii="Arial" w:hAnsi="Arial"/>
          <w:color w:val="000000"/>
        </w:rPr>
        <w:t>includes</w:t>
      </w:r>
      <w:r>
        <w:rPr>
          <w:rFonts w:ascii="Arial" w:hAnsi="Arial"/>
          <w:color w:val="000000"/>
        </w:rPr>
        <w:t xml:space="preserve"> design considerations and guidelines</w:t>
      </w:r>
      <w:r w:rsidR="00230996">
        <w:rPr>
          <w:rFonts w:ascii="Arial" w:hAnsi="Arial"/>
          <w:color w:val="000000"/>
        </w:rPr>
        <w:t xml:space="preserve"> </w:t>
      </w:r>
      <w:r w:rsidR="005B3306">
        <w:rPr>
          <w:rFonts w:ascii="Arial" w:hAnsi="Arial"/>
          <w:color w:val="000000"/>
        </w:rPr>
        <w:t>with focus</w:t>
      </w:r>
      <w:r w:rsidR="0089091D">
        <w:rPr>
          <w:rFonts w:ascii="Arial" w:hAnsi="Arial"/>
          <w:color w:val="000000"/>
        </w:rPr>
        <w:t xml:space="preserve"> on</w:t>
      </w:r>
      <w:r w:rsidR="00FC1D8F">
        <w:rPr>
          <w:rFonts w:ascii="Arial" w:hAnsi="Arial"/>
          <w:color w:val="000000"/>
        </w:rPr>
        <w:t xml:space="preserve"> </w:t>
      </w:r>
      <w:proofErr w:type="gramStart"/>
      <w:r w:rsidR="00FC1D8F">
        <w:rPr>
          <w:rFonts w:ascii="Arial" w:hAnsi="Arial"/>
          <w:color w:val="000000"/>
        </w:rPr>
        <w:t>the</w:t>
      </w:r>
      <w:r w:rsidR="0089091D">
        <w:rPr>
          <w:rFonts w:ascii="Arial" w:hAnsi="Arial"/>
          <w:color w:val="000000"/>
        </w:rPr>
        <w:t xml:space="preserve"> power</w:t>
      </w:r>
      <w:proofErr w:type="gramEnd"/>
      <w:r w:rsidR="0089091D">
        <w:rPr>
          <w:rFonts w:ascii="Arial" w:hAnsi="Arial"/>
          <w:color w:val="000000"/>
        </w:rPr>
        <w:t xml:space="preserve"> magnetic</w:t>
      </w:r>
      <w:r w:rsidR="00FC1D8F">
        <w:rPr>
          <w:rFonts w:ascii="Arial" w:hAnsi="Arial"/>
          <w:color w:val="000000"/>
        </w:rPr>
        <w:t>s</w:t>
      </w:r>
      <w:r w:rsidR="0089091D">
        <w:rPr>
          <w:rFonts w:ascii="Arial" w:hAnsi="Arial"/>
          <w:color w:val="000000"/>
        </w:rPr>
        <w:t>.</w:t>
      </w:r>
    </w:p>
    <w:p w14:paraId="38F2C08D" w14:textId="24463ADF" w:rsidR="00425725" w:rsidRDefault="00F3273D" w:rsidP="00303737">
      <w:pPr>
        <w:pStyle w:val="Textkrper"/>
        <w:spacing w:before="120" w:after="120" w:line="260" w:lineRule="exact"/>
        <w:jc w:val="both"/>
        <w:rPr>
          <w:rFonts w:ascii="Arial" w:hAnsi="Arial"/>
          <w:b w:val="0"/>
          <w:bCs w:val="0"/>
        </w:rPr>
      </w:pPr>
      <w:r>
        <w:rPr>
          <w:rFonts w:ascii="Arial" w:hAnsi="Arial"/>
          <w:b w:val="0"/>
        </w:rPr>
        <w:t>The SEPIC is a non-isolated switch</w:t>
      </w:r>
      <w:r w:rsidR="00230996">
        <w:rPr>
          <w:rFonts w:ascii="Arial" w:hAnsi="Arial"/>
          <w:b w:val="0"/>
        </w:rPr>
        <w:t>ing</w:t>
      </w:r>
      <w:r>
        <w:rPr>
          <w:rFonts w:ascii="Arial" w:hAnsi="Arial"/>
          <w:b w:val="0"/>
        </w:rPr>
        <w:t xml:space="preserve"> power supply topology </w:t>
      </w:r>
      <w:r w:rsidR="00230996">
        <w:rPr>
          <w:rFonts w:ascii="Arial" w:hAnsi="Arial"/>
          <w:b w:val="0"/>
        </w:rPr>
        <w:t xml:space="preserve">generating an output voltage that can be </w:t>
      </w:r>
      <w:r>
        <w:rPr>
          <w:rFonts w:ascii="Arial" w:hAnsi="Arial"/>
          <w:b w:val="0"/>
        </w:rPr>
        <w:t>higher</w:t>
      </w:r>
      <w:r w:rsidR="0089091D">
        <w:rPr>
          <w:rFonts w:ascii="Arial" w:hAnsi="Arial"/>
          <w:b w:val="0"/>
        </w:rPr>
        <w:t>, equal</w:t>
      </w:r>
      <w:r>
        <w:rPr>
          <w:rFonts w:ascii="Arial" w:hAnsi="Arial"/>
          <w:b w:val="0"/>
        </w:rPr>
        <w:t xml:space="preserve"> or lower than the input voltage. Typical applications include battery-powered devices and chargers, automotive power systems, photovoltaic </w:t>
      </w:r>
      <w:r w:rsidR="00CA0BF9">
        <w:rPr>
          <w:rFonts w:ascii="Arial" w:hAnsi="Arial"/>
          <w:b w:val="0"/>
        </w:rPr>
        <w:t>converters</w:t>
      </w:r>
      <w:r>
        <w:rPr>
          <w:rFonts w:ascii="Arial" w:hAnsi="Arial"/>
          <w:b w:val="0"/>
        </w:rPr>
        <w:t>, LED lighting, and power factor correction stages. Th</w:t>
      </w:r>
      <w:r w:rsidR="00094474">
        <w:rPr>
          <w:rFonts w:ascii="Arial" w:hAnsi="Arial"/>
          <w:b w:val="0"/>
        </w:rPr>
        <w:t>is</w:t>
      </w:r>
      <w:r>
        <w:rPr>
          <w:rFonts w:ascii="Arial" w:hAnsi="Arial"/>
          <w:b w:val="0"/>
        </w:rPr>
        <w:t xml:space="preserve"> </w:t>
      </w:r>
      <w:r w:rsidR="0089091D">
        <w:rPr>
          <w:rFonts w:ascii="Arial" w:hAnsi="Arial"/>
          <w:b w:val="0"/>
        </w:rPr>
        <w:t>new App</w:t>
      </w:r>
      <w:r w:rsidR="00D27151">
        <w:rPr>
          <w:rFonts w:ascii="Arial" w:hAnsi="Arial"/>
          <w:b w:val="0"/>
        </w:rPr>
        <w:t xml:space="preserve">lication </w:t>
      </w:r>
      <w:r w:rsidR="0089091D">
        <w:rPr>
          <w:rFonts w:ascii="Arial" w:hAnsi="Arial"/>
          <w:b w:val="0"/>
        </w:rPr>
        <w:t>Note from Würth Elektronik</w:t>
      </w:r>
      <w:r>
        <w:rPr>
          <w:rFonts w:ascii="Arial" w:hAnsi="Arial"/>
          <w:b w:val="0"/>
        </w:rPr>
        <w:t xml:space="preserve"> provides a detailed </w:t>
      </w:r>
      <w:r w:rsidR="0089091D">
        <w:rPr>
          <w:rFonts w:ascii="Arial" w:hAnsi="Arial"/>
          <w:b w:val="0"/>
        </w:rPr>
        <w:t>analysis</w:t>
      </w:r>
      <w:r>
        <w:rPr>
          <w:rFonts w:ascii="Arial" w:hAnsi="Arial"/>
          <w:b w:val="0"/>
        </w:rPr>
        <w:t xml:space="preserve"> of the SEPIC converter</w:t>
      </w:r>
      <w:r w:rsidR="00094474">
        <w:rPr>
          <w:rFonts w:ascii="Arial" w:hAnsi="Arial"/>
          <w:b w:val="0"/>
        </w:rPr>
        <w:t xml:space="preserve"> with </w:t>
      </w:r>
      <w:r w:rsidR="00D27151">
        <w:rPr>
          <w:rFonts w:ascii="Arial" w:hAnsi="Arial"/>
          <w:b w:val="0"/>
        </w:rPr>
        <w:t>particular</w:t>
      </w:r>
      <w:r w:rsidR="00094474">
        <w:rPr>
          <w:rFonts w:ascii="Arial" w:hAnsi="Arial"/>
          <w:b w:val="0"/>
        </w:rPr>
        <w:t xml:space="preserve"> emphasis on the implementation w</w:t>
      </w:r>
      <w:r>
        <w:rPr>
          <w:rFonts w:ascii="Arial" w:hAnsi="Arial"/>
          <w:b w:val="0"/>
        </w:rPr>
        <w:t xml:space="preserve">ith a coupled inductor, such as the </w:t>
      </w:r>
      <w:hyperlink r:id="rId9" w:history="1">
        <w:r>
          <w:rPr>
            <w:rStyle w:val="Hyperlink"/>
            <w:rFonts w:ascii="Arial" w:hAnsi="Arial"/>
            <w:b w:val="0"/>
          </w:rPr>
          <w:t>WE-MCRI</w:t>
        </w:r>
      </w:hyperlink>
      <w:r w:rsidR="00D27151">
        <w:rPr>
          <w:rFonts w:ascii="Arial" w:hAnsi="Arial"/>
          <w:b w:val="0"/>
        </w:rPr>
        <w:t>. It also includes</w:t>
      </w:r>
      <w:r>
        <w:rPr>
          <w:rFonts w:ascii="Arial" w:hAnsi="Arial"/>
          <w:b w:val="0"/>
        </w:rPr>
        <w:t xml:space="preserve"> an analysis of</w:t>
      </w:r>
      <w:r w:rsidR="00094474">
        <w:rPr>
          <w:rFonts w:ascii="Arial" w:hAnsi="Arial"/>
          <w:b w:val="0"/>
        </w:rPr>
        <w:t xml:space="preserve"> </w:t>
      </w:r>
      <w:r>
        <w:rPr>
          <w:rFonts w:ascii="Arial" w:hAnsi="Arial"/>
          <w:b w:val="0"/>
        </w:rPr>
        <w:t>“ripple current steering”</w:t>
      </w:r>
      <w:r w:rsidR="0089091D">
        <w:rPr>
          <w:rFonts w:ascii="Arial" w:hAnsi="Arial"/>
          <w:b w:val="0"/>
        </w:rPr>
        <w:t xml:space="preserve"> technique</w:t>
      </w:r>
      <w:r>
        <w:rPr>
          <w:rFonts w:ascii="Arial" w:hAnsi="Arial"/>
          <w:b w:val="0"/>
        </w:rPr>
        <w:t xml:space="preserve"> and the</w:t>
      </w:r>
      <w:r w:rsidR="00D27151">
        <w:rPr>
          <w:rFonts w:ascii="Arial" w:hAnsi="Arial"/>
          <w:b w:val="0"/>
        </w:rPr>
        <w:t xml:space="preserve"> key role</w:t>
      </w:r>
      <w:r>
        <w:rPr>
          <w:rFonts w:ascii="Arial" w:hAnsi="Arial"/>
          <w:b w:val="0"/>
        </w:rPr>
        <w:t xml:space="preserve"> </w:t>
      </w:r>
      <w:r w:rsidR="00D27151">
        <w:rPr>
          <w:rFonts w:ascii="Arial" w:hAnsi="Arial"/>
          <w:b w:val="0"/>
        </w:rPr>
        <w:t>that the</w:t>
      </w:r>
      <w:r>
        <w:rPr>
          <w:rFonts w:ascii="Arial" w:hAnsi="Arial"/>
          <w:b w:val="0"/>
        </w:rPr>
        <w:t xml:space="preserve"> leakage inductance</w:t>
      </w:r>
      <w:r w:rsidR="00D27151">
        <w:rPr>
          <w:rFonts w:ascii="Arial" w:hAnsi="Arial"/>
          <w:b w:val="0"/>
        </w:rPr>
        <w:t xml:space="preserve"> plays i</w:t>
      </w:r>
      <w:r>
        <w:rPr>
          <w:rFonts w:ascii="Arial" w:hAnsi="Arial"/>
          <w:b w:val="0"/>
        </w:rPr>
        <w:t>n</w:t>
      </w:r>
      <w:r w:rsidR="00094474">
        <w:rPr>
          <w:rFonts w:ascii="Arial" w:hAnsi="Arial"/>
          <w:b w:val="0"/>
        </w:rPr>
        <w:t xml:space="preserve"> the converter</w:t>
      </w:r>
      <w:r w:rsidR="005B3306">
        <w:rPr>
          <w:rFonts w:ascii="Arial" w:hAnsi="Arial"/>
          <w:b w:val="0"/>
        </w:rPr>
        <w:t>, all</w:t>
      </w:r>
      <w:r w:rsidR="00D27151">
        <w:rPr>
          <w:rFonts w:ascii="Arial" w:hAnsi="Arial"/>
          <w:b w:val="0"/>
        </w:rPr>
        <w:t xml:space="preserve"> </w:t>
      </w:r>
      <w:r>
        <w:rPr>
          <w:rFonts w:ascii="Arial" w:hAnsi="Arial"/>
          <w:b w:val="0"/>
        </w:rPr>
        <w:t>supported by SPICE simulations and</w:t>
      </w:r>
      <w:r w:rsidR="00D27151">
        <w:rPr>
          <w:rFonts w:ascii="Arial" w:hAnsi="Arial"/>
          <w:b w:val="0"/>
        </w:rPr>
        <w:t xml:space="preserve"> </w:t>
      </w:r>
      <w:r>
        <w:rPr>
          <w:rFonts w:ascii="Arial" w:hAnsi="Arial"/>
          <w:b w:val="0"/>
        </w:rPr>
        <w:t>measurements on a</w:t>
      </w:r>
      <w:r w:rsidR="00D27151">
        <w:rPr>
          <w:rFonts w:ascii="Arial" w:hAnsi="Arial"/>
          <w:b w:val="0"/>
        </w:rPr>
        <w:t xml:space="preserve"> real</w:t>
      </w:r>
      <w:r>
        <w:rPr>
          <w:rFonts w:ascii="Arial" w:hAnsi="Arial"/>
          <w:b w:val="0"/>
        </w:rPr>
        <w:t xml:space="preserve"> DC-DC SEPIC converter prototype.</w:t>
      </w:r>
    </w:p>
    <w:p w14:paraId="3A807B6A" w14:textId="1AE10D05" w:rsidR="00425725" w:rsidRPr="00425725" w:rsidRDefault="00425725" w:rsidP="00303737">
      <w:pPr>
        <w:pStyle w:val="Textkrper"/>
        <w:spacing w:before="120" w:after="120" w:line="260" w:lineRule="exact"/>
        <w:jc w:val="both"/>
        <w:rPr>
          <w:rFonts w:ascii="Arial" w:hAnsi="Arial"/>
        </w:rPr>
      </w:pPr>
      <w:r>
        <w:rPr>
          <w:rFonts w:ascii="Arial" w:hAnsi="Arial"/>
        </w:rPr>
        <w:t>Coupled or uncoupled</w:t>
      </w:r>
    </w:p>
    <w:p w14:paraId="5509B15A" w14:textId="468C7763" w:rsidR="00425725" w:rsidRPr="00D27151" w:rsidRDefault="00425725" w:rsidP="00303737">
      <w:pPr>
        <w:pStyle w:val="Textkrper"/>
        <w:spacing w:before="120" w:after="120" w:line="260" w:lineRule="exact"/>
        <w:jc w:val="both"/>
        <w:rPr>
          <w:rFonts w:ascii="Arial" w:hAnsi="Arial"/>
          <w:b w:val="0"/>
        </w:rPr>
      </w:pPr>
      <w:r>
        <w:rPr>
          <w:rFonts w:ascii="Arial" w:hAnsi="Arial"/>
          <w:b w:val="0"/>
        </w:rPr>
        <w:t>Unlike topologies</w:t>
      </w:r>
      <w:r w:rsidR="00094474">
        <w:rPr>
          <w:rFonts w:ascii="Arial" w:hAnsi="Arial"/>
          <w:b w:val="0"/>
        </w:rPr>
        <w:t xml:space="preserve"> with a single </w:t>
      </w:r>
      <w:r>
        <w:rPr>
          <w:rFonts w:ascii="Arial" w:hAnsi="Arial"/>
          <w:b w:val="0"/>
        </w:rPr>
        <w:t>inductor, such as buck, boost or buck-boost converters, the SEPIC power stage requires two inductors. These can be implemented as uncoupled, separate inductors</w:t>
      </w:r>
      <w:r w:rsidR="00FC1D8F">
        <w:rPr>
          <w:rFonts w:ascii="Arial" w:hAnsi="Arial"/>
          <w:b w:val="0"/>
        </w:rPr>
        <w:t>,</w:t>
      </w:r>
      <w:r>
        <w:rPr>
          <w:rFonts w:ascii="Arial" w:hAnsi="Arial"/>
          <w:b w:val="0"/>
        </w:rPr>
        <w:t xml:space="preserve"> or alternatively configured as a coupled power inductor with two windings on a common core. This configuration not only reduces the number of </w:t>
      </w:r>
      <w:r w:rsidR="007A1568">
        <w:rPr>
          <w:rFonts w:ascii="Arial" w:hAnsi="Arial"/>
          <w:b w:val="0"/>
        </w:rPr>
        <w:t>components but</w:t>
      </w:r>
      <w:r>
        <w:rPr>
          <w:rFonts w:ascii="Arial" w:hAnsi="Arial"/>
          <w:b w:val="0"/>
        </w:rPr>
        <w:t xml:space="preserve"> also requires</w:t>
      </w:r>
      <w:r w:rsidR="00D27151">
        <w:rPr>
          <w:rFonts w:ascii="Arial" w:hAnsi="Arial"/>
          <w:b w:val="0"/>
        </w:rPr>
        <w:t xml:space="preserve"> less</w:t>
      </w:r>
      <w:r>
        <w:rPr>
          <w:rFonts w:ascii="Arial" w:hAnsi="Arial"/>
          <w:b w:val="0"/>
        </w:rPr>
        <w:t xml:space="preserve"> inductance </w:t>
      </w:r>
      <w:r w:rsidR="00094474">
        <w:rPr>
          <w:rFonts w:ascii="Arial" w:hAnsi="Arial"/>
          <w:b w:val="0"/>
        </w:rPr>
        <w:t>to generate</w:t>
      </w:r>
      <w:r>
        <w:rPr>
          <w:rFonts w:ascii="Arial" w:hAnsi="Arial"/>
          <w:b w:val="0"/>
        </w:rPr>
        <w:t xml:space="preserve"> the same ripple current</w:t>
      </w:r>
      <w:r w:rsidR="00D27151">
        <w:rPr>
          <w:rFonts w:ascii="Arial" w:hAnsi="Arial"/>
          <w:b w:val="0"/>
        </w:rPr>
        <w:t xml:space="preserve"> amplitude</w:t>
      </w:r>
      <w:r>
        <w:rPr>
          <w:rFonts w:ascii="Arial" w:hAnsi="Arial"/>
          <w:b w:val="0"/>
        </w:rPr>
        <w:t xml:space="preserve"> </w:t>
      </w:r>
      <w:r w:rsidR="00FC1D8F">
        <w:rPr>
          <w:rFonts w:ascii="Arial" w:hAnsi="Arial"/>
          <w:b w:val="0"/>
        </w:rPr>
        <w:t>compared to</w:t>
      </w:r>
      <w:r>
        <w:rPr>
          <w:rFonts w:ascii="Arial" w:hAnsi="Arial"/>
          <w:b w:val="0"/>
        </w:rPr>
        <w:t xml:space="preserve"> a solution with uncoupled inductors. Moreover, the magnetic coupling of the windings enables the implementation of “ripple current steering”. This is a technique in which the ripple current of the input winding </w:t>
      </w:r>
      <w:r w:rsidR="00EE2237">
        <w:rPr>
          <w:rFonts w:ascii="Arial" w:hAnsi="Arial"/>
          <w:b w:val="0"/>
        </w:rPr>
        <w:t>can be</w:t>
      </w:r>
      <w:r>
        <w:rPr>
          <w:rFonts w:ascii="Arial" w:hAnsi="Arial"/>
          <w:b w:val="0"/>
        </w:rPr>
        <w:t xml:space="preserve"> “steered” to the output winding, helping to reduce conducted EMI noise. “</w:t>
      </w:r>
      <w:r w:rsidR="00ED02CD">
        <w:rPr>
          <w:rFonts w:ascii="Arial" w:hAnsi="Arial"/>
          <w:b w:val="0"/>
        </w:rPr>
        <w:t>When designing a SEPIC with coupled inductors, it is</w:t>
      </w:r>
      <w:r>
        <w:rPr>
          <w:rFonts w:ascii="Arial" w:hAnsi="Arial"/>
          <w:b w:val="0"/>
        </w:rPr>
        <w:t xml:space="preserve"> </w:t>
      </w:r>
      <w:r w:rsidR="00ED02CD">
        <w:rPr>
          <w:rFonts w:ascii="Arial" w:hAnsi="Arial"/>
          <w:b w:val="0"/>
        </w:rPr>
        <w:t>important</w:t>
      </w:r>
      <w:r>
        <w:rPr>
          <w:rFonts w:ascii="Arial" w:hAnsi="Arial"/>
          <w:b w:val="0"/>
        </w:rPr>
        <w:t xml:space="preserve"> to understand the i</w:t>
      </w:r>
      <w:r w:rsidR="00ED02CD">
        <w:rPr>
          <w:rFonts w:ascii="Arial" w:hAnsi="Arial"/>
          <w:b w:val="0"/>
        </w:rPr>
        <w:t>nfluence</w:t>
      </w:r>
      <w:r>
        <w:rPr>
          <w:rFonts w:ascii="Arial" w:hAnsi="Arial"/>
          <w:b w:val="0"/>
        </w:rPr>
        <w:t xml:space="preserve"> of </w:t>
      </w:r>
      <w:r w:rsidR="00EE2237">
        <w:rPr>
          <w:rFonts w:ascii="Arial" w:hAnsi="Arial"/>
          <w:b w:val="0"/>
        </w:rPr>
        <w:t xml:space="preserve">the </w:t>
      </w:r>
      <w:r w:rsidR="00ED02CD">
        <w:rPr>
          <w:rFonts w:ascii="Arial" w:hAnsi="Arial"/>
          <w:b w:val="0"/>
        </w:rPr>
        <w:t>coupling factor on the converter performance</w:t>
      </w:r>
      <w:r w:rsidR="00D27151">
        <w:rPr>
          <w:rFonts w:ascii="Arial" w:hAnsi="Arial"/>
          <w:b w:val="0"/>
        </w:rPr>
        <w:t>. In contrast to typical scenarios</w:t>
      </w:r>
      <w:r w:rsidR="00EE2237">
        <w:rPr>
          <w:rFonts w:ascii="Arial" w:hAnsi="Arial"/>
          <w:b w:val="0"/>
        </w:rPr>
        <w:t>, a h</w:t>
      </w:r>
      <w:r w:rsidR="006C2AA9" w:rsidRPr="006C2AA9">
        <w:rPr>
          <w:rFonts w:ascii="Arial" w:hAnsi="Arial"/>
          <w:b w:val="0"/>
          <w:bCs w:val="0"/>
        </w:rPr>
        <w:t xml:space="preserve">igher leakage inductance </w:t>
      </w:r>
      <w:r w:rsidR="00E408DA">
        <w:rPr>
          <w:rFonts w:ascii="Arial" w:hAnsi="Arial"/>
          <w:b w:val="0"/>
          <w:bCs w:val="0"/>
        </w:rPr>
        <w:t xml:space="preserve">can </w:t>
      </w:r>
      <w:r w:rsidR="006C2AA9" w:rsidRPr="006C2AA9">
        <w:rPr>
          <w:rFonts w:ascii="Arial" w:hAnsi="Arial"/>
          <w:b w:val="0"/>
          <w:bCs w:val="0"/>
        </w:rPr>
        <w:t xml:space="preserve">be </w:t>
      </w:r>
      <w:r w:rsidR="00EE2237">
        <w:rPr>
          <w:rFonts w:ascii="Arial" w:hAnsi="Arial"/>
          <w:b w:val="0"/>
          <w:bCs w:val="0"/>
        </w:rPr>
        <w:t>of advantage in this case</w:t>
      </w:r>
      <w:r>
        <w:rPr>
          <w:rFonts w:ascii="Arial" w:hAnsi="Arial"/>
          <w:b w:val="0"/>
        </w:rPr>
        <w:t xml:space="preserve">,” explains Eleazar Falco, </w:t>
      </w:r>
      <w:r w:rsidR="00094474">
        <w:rPr>
          <w:rFonts w:ascii="Arial" w:hAnsi="Arial"/>
          <w:b w:val="0"/>
        </w:rPr>
        <w:t xml:space="preserve">Senior </w:t>
      </w:r>
      <w:r>
        <w:rPr>
          <w:rFonts w:ascii="Arial" w:hAnsi="Arial"/>
          <w:b w:val="0"/>
        </w:rPr>
        <w:t>Application Engineer at Würth Elektronik eiSos and author.</w:t>
      </w:r>
    </w:p>
    <w:p w14:paraId="2E85F3DD" w14:textId="61FBEBA0" w:rsidR="00A1094A" w:rsidRDefault="00A1094A">
      <w:pPr>
        <w:rPr>
          <w:rFonts w:ascii="Arial" w:hAnsi="Arial" w:cs="Arial"/>
          <w:b/>
          <w:bCs/>
          <w:color w:val="000000"/>
          <w:sz w:val="20"/>
          <w:szCs w:val="20"/>
        </w:rPr>
      </w:pPr>
      <w:r>
        <w:rPr>
          <w:rFonts w:ascii="Arial" w:hAnsi="Arial"/>
          <w:color w:val="000000"/>
        </w:rPr>
        <w:br w:type="page"/>
      </w:r>
    </w:p>
    <w:p w14:paraId="188B32E4" w14:textId="77777777" w:rsidR="00303737" w:rsidRPr="00F85C8A" w:rsidRDefault="00303737" w:rsidP="00303737">
      <w:pPr>
        <w:pStyle w:val="Textkrper"/>
        <w:spacing w:before="120" w:after="120" w:line="260" w:lineRule="exact"/>
        <w:jc w:val="both"/>
        <w:rPr>
          <w:rFonts w:ascii="Arial" w:hAnsi="Arial"/>
          <w:color w:val="000000"/>
        </w:rPr>
      </w:pPr>
    </w:p>
    <w:p w14:paraId="784E7E64" w14:textId="63E93E39" w:rsidR="00485E6F" w:rsidRPr="00944A14" w:rsidRDefault="00485E6F" w:rsidP="00303737">
      <w:pPr>
        <w:pStyle w:val="Textkrper"/>
        <w:spacing w:before="120" w:after="120" w:line="260" w:lineRule="exact"/>
        <w:jc w:val="both"/>
        <w:rPr>
          <w:rFonts w:ascii="Arial" w:hAnsi="Arial"/>
          <w:b w:val="0"/>
          <w:bCs w:val="0"/>
        </w:rPr>
      </w:pPr>
    </w:p>
    <w:p w14:paraId="7653B424" w14:textId="77777777" w:rsidR="00485E6F" w:rsidRPr="00512722" w:rsidRDefault="00485E6F" w:rsidP="00485E6F">
      <w:pPr>
        <w:pStyle w:val="PITextkrper"/>
        <w:pBdr>
          <w:top w:val="single" w:sz="4" w:space="1" w:color="auto"/>
        </w:pBdr>
        <w:spacing w:before="240"/>
        <w:rPr>
          <w:b/>
          <w:sz w:val="18"/>
          <w:szCs w:val="18"/>
        </w:rPr>
      </w:pPr>
    </w:p>
    <w:p w14:paraId="2D9F871B" w14:textId="77777777" w:rsidR="007A1568" w:rsidRPr="00A91DDF" w:rsidRDefault="007A1568" w:rsidP="007A156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5C0EDB37" w:rsidR="00485E6F" w:rsidRPr="00944A14" w:rsidRDefault="007A1568" w:rsidP="007A1568">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944A14" w14:paraId="415A195B" w14:textId="77777777" w:rsidTr="00CE17D6">
        <w:trPr>
          <w:trHeight w:val="1701"/>
        </w:trPr>
        <w:tc>
          <w:tcPr>
            <w:tcW w:w="3510" w:type="dxa"/>
          </w:tcPr>
          <w:p w14:paraId="5A320371" w14:textId="7412BADB" w:rsidR="00485E6F" w:rsidRPr="00944A14" w:rsidRDefault="00485E6F" w:rsidP="00CE17D6">
            <w:pPr>
              <w:pStyle w:val="txt"/>
              <w:rPr>
                <w:b/>
                <w:bCs/>
                <w:sz w:val="18"/>
              </w:rPr>
            </w:pPr>
            <w:r>
              <w:rPr>
                <w:b/>
              </w:rPr>
              <w:br/>
            </w:r>
            <w:r>
              <w:rPr>
                <w:noProof/>
              </w:rPr>
              <w:drawing>
                <wp:inline distT="0" distB="0" distL="0" distR="0" wp14:anchorId="7BD2D593" wp14:editId="2D52AD09">
                  <wp:extent cx="2139950" cy="1958975"/>
                  <wp:effectExtent l="0" t="0" r="0" b="3175"/>
                  <wp:docPr id="660734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958975"/>
                          </a:xfrm>
                          <a:prstGeom prst="rect">
                            <a:avLst/>
                          </a:prstGeom>
                          <a:noFill/>
                          <a:ln>
                            <a:noFill/>
                          </a:ln>
                        </pic:spPr>
                      </pic:pic>
                    </a:graphicData>
                  </a:graphic>
                </wp:inline>
              </w:drawing>
            </w:r>
            <w:r w:rsidRPr="00843488">
              <w:rPr>
                <w:sz w:val="16"/>
              </w:rPr>
              <w:t>Image source:</w:t>
            </w:r>
            <w:r>
              <w:rPr>
                <w:sz w:val="16"/>
              </w:rPr>
              <w:t xml:space="preserve"> Würth Elektronik </w:t>
            </w:r>
          </w:p>
          <w:p w14:paraId="4BBAF83E" w14:textId="42DD5799" w:rsidR="00485E6F" w:rsidRPr="00944A14" w:rsidRDefault="00E408DA" w:rsidP="00CE17D6">
            <w:pPr>
              <w:autoSpaceDE w:val="0"/>
              <w:autoSpaceDN w:val="0"/>
              <w:adjustRightInd w:val="0"/>
              <w:rPr>
                <w:rFonts w:ascii="Arial" w:hAnsi="Arial" w:cs="Arial"/>
                <w:b/>
                <w:sz w:val="18"/>
                <w:szCs w:val="18"/>
              </w:rPr>
            </w:pPr>
            <w:r>
              <w:rPr>
                <w:rFonts w:ascii="Arial" w:hAnsi="Arial"/>
                <w:b/>
                <w:sz w:val="18"/>
              </w:rPr>
              <w:t>SEPIC boards</w:t>
            </w:r>
            <w:r w:rsidR="00C46F9A">
              <w:rPr>
                <w:rFonts w:ascii="Arial" w:hAnsi="Arial"/>
                <w:b/>
                <w:sz w:val="18"/>
              </w:rPr>
              <w:t xml:space="preserve"> </w:t>
            </w:r>
            <w:r>
              <w:rPr>
                <w:rFonts w:ascii="Arial" w:hAnsi="Arial"/>
                <w:b/>
                <w:sz w:val="18"/>
              </w:rPr>
              <w:t>for</w:t>
            </w:r>
            <w:r w:rsidR="00C46F9A">
              <w:rPr>
                <w:rFonts w:ascii="Arial" w:hAnsi="Arial"/>
                <w:b/>
                <w:sz w:val="18"/>
              </w:rPr>
              <w:t xml:space="preserve"> Würth Elektronik's new application note: </w:t>
            </w:r>
            <w:r>
              <w:rPr>
                <w:rFonts w:ascii="Arial" w:hAnsi="Arial"/>
                <w:b/>
                <w:sz w:val="18"/>
              </w:rPr>
              <w:t xml:space="preserve">with </w:t>
            </w:r>
            <w:r w:rsidR="00C46F9A">
              <w:rPr>
                <w:rFonts w:ascii="Arial" w:hAnsi="Arial"/>
                <w:b/>
                <w:sz w:val="18"/>
              </w:rPr>
              <w:t>two</w:t>
            </w:r>
            <w:r w:rsidR="00094474">
              <w:rPr>
                <w:rFonts w:ascii="Arial" w:hAnsi="Arial"/>
                <w:b/>
                <w:sz w:val="18"/>
              </w:rPr>
              <w:t xml:space="preserve"> uncoupled</w:t>
            </w:r>
            <w:r w:rsidR="00C46F9A">
              <w:rPr>
                <w:rFonts w:ascii="Arial" w:hAnsi="Arial"/>
                <w:b/>
                <w:sz w:val="18"/>
              </w:rPr>
              <w:t xml:space="preserve"> inductors (left),</w:t>
            </w:r>
            <w:r>
              <w:rPr>
                <w:rFonts w:ascii="Arial" w:hAnsi="Arial"/>
                <w:b/>
                <w:sz w:val="18"/>
              </w:rPr>
              <w:t xml:space="preserve"> with</w:t>
            </w:r>
            <w:r w:rsidR="00C46F9A">
              <w:rPr>
                <w:rFonts w:ascii="Arial" w:hAnsi="Arial"/>
                <w:b/>
                <w:sz w:val="18"/>
              </w:rPr>
              <w:t xml:space="preserve"> a coupled inductor</w:t>
            </w:r>
            <w:r w:rsidR="00094474">
              <w:rPr>
                <w:rFonts w:ascii="Arial" w:hAnsi="Arial"/>
                <w:b/>
                <w:sz w:val="18"/>
              </w:rPr>
              <w:t xml:space="preserve"> (right)</w:t>
            </w:r>
            <w:r w:rsidR="00C46F9A">
              <w:rPr>
                <w:rFonts w:ascii="Arial" w:hAnsi="Arial"/>
                <w:b/>
                <w:sz w:val="18"/>
              </w:rPr>
              <w:t>.</w:t>
            </w:r>
          </w:p>
          <w:p w14:paraId="5ED23578" w14:textId="77777777" w:rsidR="00485E6F" w:rsidRPr="00944A14" w:rsidRDefault="00485E6F" w:rsidP="00CE17D6">
            <w:pPr>
              <w:autoSpaceDE w:val="0"/>
              <w:autoSpaceDN w:val="0"/>
              <w:adjustRightInd w:val="0"/>
              <w:rPr>
                <w:rFonts w:ascii="Arial" w:hAnsi="Arial" w:cs="Arial"/>
                <w:b/>
                <w:bCs/>
                <w:sz w:val="18"/>
                <w:szCs w:val="18"/>
              </w:rPr>
            </w:pPr>
          </w:p>
        </w:tc>
      </w:tr>
    </w:tbl>
    <w:p w14:paraId="4A7C7C55" w14:textId="77777777" w:rsidR="007A1568" w:rsidRDefault="007A1568" w:rsidP="00485E6F">
      <w:pPr>
        <w:pStyle w:val="PITextkrper"/>
        <w:rPr>
          <w:b/>
          <w:bCs/>
          <w:sz w:val="18"/>
          <w:szCs w:val="18"/>
        </w:rPr>
      </w:pPr>
    </w:p>
    <w:p w14:paraId="0484DAEB" w14:textId="77777777" w:rsidR="007A1568" w:rsidRDefault="007A1568" w:rsidP="007A1568">
      <w:pPr>
        <w:pStyle w:val="Textkrper"/>
        <w:spacing w:before="120" w:after="120" w:line="260" w:lineRule="exact"/>
        <w:jc w:val="both"/>
        <w:rPr>
          <w:rFonts w:ascii="Arial" w:hAnsi="Arial"/>
          <w:b w:val="0"/>
          <w:bCs w:val="0"/>
        </w:rPr>
      </w:pPr>
    </w:p>
    <w:p w14:paraId="77CF2E9A" w14:textId="77777777" w:rsidR="007A1568" w:rsidRDefault="007A1568" w:rsidP="007A1568">
      <w:pPr>
        <w:pStyle w:val="PITextkrper"/>
        <w:pBdr>
          <w:top w:val="single" w:sz="4" w:space="1" w:color="auto"/>
        </w:pBdr>
        <w:spacing w:before="240"/>
        <w:rPr>
          <w:b/>
          <w:sz w:val="18"/>
          <w:szCs w:val="18"/>
        </w:rPr>
      </w:pPr>
    </w:p>
    <w:p w14:paraId="623BC3DA" w14:textId="77777777" w:rsidR="007A1568" w:rsidRDefault="007A1568" w:rsidP="007A1568">
      <w:pPr>
        <w:pStyle w:val="Textkrper"/>
        <w:spacing w:before="120" w:after="120" w:line="260" w:lineRule="exact"/>
        <w:jc w:val="both"/>
        <w:rPr>
          <w:rFonts w:ascii="Arial" w:hAnsi="Arial"/>
        </w:rPr>
      </w:pPr>
      <w:r>
        <w:rPr>
          <w:rFonts w:ascii="Arial" w:hAnsi="Arial"/>
        </w:rPr>
        <w:t>About the Würth Elektronik eiSos Group</w:t>
      </w:r>
    </w:p>
    <w:p w14:paraId="29D5706B" w14:textId="77777777" w:rsidR="007A1568" w:rsidRDefault="007A1568" w:rsidP="007A1568">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C4673C3" w14:textId="77777777" w:rsidR="007A1568" w:rsidRPr="00DF5B64" w:rsidRDefault="007A1568" w:rsidP="007A1568">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35D3F734" w14:textId="77777777" w:rsidR="007A1568" w:rsidRPr="00DF5B64" w:rsidRDefault="007A1568" w:rsidP="007A1568">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FBF4701" w14:textId="77777777" w:rsidR="007A1568" w:rsidRDefault="007A1568" w:rsidP="007A1568">
      <w:pPr>
        <w:pStyle w:val="Textkrper"/>
        <w:spacing w:before="120" w:after="120" w:line="276" w:lineRule="auto"/>
        <w:jc w:val="both"/>
        <w:rPr>
          <w:rFonts w:ascii="Arial" w:hAnsi="Arial"/>
          <w:b w:val="0"/>
        </w:rPr>
      </w:pPr>
      <w:r w:rsidRPr="00DF5B64">
        <w:rPr>
          <w:rFonts w:ascii="Arial" w:hAnsi="Arial"/>
          <w:b w:val="0"/>
        </w:rPr>
        <w:lastRenderedPageBreak/>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0813C549" w14:textId="77777777" w:rsidR="007A1568" w:rsidRDefault="007A1568" w:rsidP="007A1568">
      <w:pPr>
        <w:pStyle w:val="Textkrper"/>
        <w:spacing w:before="120" w:after="120" w:line="276" w:lineRule="auto"/>
        <w:rPr>
          <w:rFonts w:ascii="Arial" w:hAnsi="Arial"/>
          <w:b w:val="0"/>
        </w:rPr>
      </w:pPr>
      <w:r>
        <w:rPr>
          <w:rFonts w:ascii="Arial" w:hAnsi="Arial"/>
          <w:b w:val="0"/>
        </w:rPr>
        <w:t>Würth Elektronik: more than you expect!</w:t>
      </w:r>
    </w:p>
    <w:p w14:paraId="798445C7" w14:textId="77777777" w:rsidR="007A1568" w:rsidRDefault="007A1568" w:rsidP="007A1568">
      <w:pPr>
        <w:pStyle w:val="Textkrper"/>
        <w:spacing w:before="120" w:after="120" w:line="276" w:lineRule="auto"/>
        <w:rPr>
          <w:rFonts w:ascii="Arial" w:hAnsi="Arial"/>
        </w:rPr>
      </w:pPr>
      <w:r>
        <w:rPr>
          <w:rFonts w:ascii="Arial" w:hAnsi="Arial"/>
        </w:rPr>
        <w:t xml:space="preserve">Further information at </w:t>
      </w:r>
      <w:hyperlink r:id="rId12" w:history="1">
        <w:r w:rsidRPr="00ED437F">
          <w:rPr>
            <w:rStyle w:val="Hyperlink"/>
            <w:rFonts w:ascii="Arial" w:hAnsi="Arial"/>
          </w:rPr>
          <w:t>www.we-online.com</w:t>
        </w:r>
      </w:hyperlink>
    </w:p>
    <w:p w14:paraId="6275CF56" w14:textId="77777777" w:rsidR="007A1568" w:rsidRDefault="007A1568" w:rsidP="007A156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A1568" w14:paraId="1FB89960" w14:textId="77777777" w:rsidTr="00D559D2">
        <w:tc>
          <w:tcPr>
            <w:tcW w:w="3902" w:type="dxa"/>
            <w:shd w:val="clear" w:color="auto" w:fill="auto"/>
            <w:hideMark/>
          </w:tcPr>
          <w:p w14:paraId="5CA013BF" w14:textId="77777777" w:rsidR="007A1568" w:rsidRDefault="007A1568" w:rsidP="00D559D2">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42269BF" w14:textId="77777777" w:rsidR="007A1568" w:rsidRDefault="007A1568" w:rsidP="00D559D2">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73F7252" w14:textId="77777777" w:rsidR="007A1568" w:rsidRDefault="007A1568" w:rsidP="00D559D2">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18117488" w14:textId="77777777" w:rsidR="007A1568" w:rsidRDefault="007A1568" w:rsidP="00D559D2">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70B0367B" w14:textId="77777777" w:rsidR="007A1568" w:rsidRDefault="007A1568" w:rsidP="00D559D2">
            <w:pPr>
              <w:spacing w:before="120" w:after="120" w:line="276" w:lineRule="auto"/>
              <w:rPr>
                <w:rFonts w:ascii="Arial" w:hAnsi="Arial" w:cs="Arial"/>
                <w:bCs/>
                <w:sz w:val="20"/>
              </w:rPr>
            </w:pPr>
          </w:p>
        </w:tc>
        <w:tc>
          <w:tcPr>
            <w:tcW w:w="3193" w:type="dxa"/>
            <w:shd w:val="clear" w:color="auto" w:fill="auto"/>
            <w:hideMark/>
          </w:tcPr>
          <w:p w14:paraId="33270BEA" w14:textId="77777777" w:rsidR="007A1568" w:rsidRDefault="007A1568" w:rsidP="00D559D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C00D3F7" w14:textId="77777777" w:rsidR="007A1568" w:rsidRDefault="007A1568" w:rsidP="00D559D2">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6D0A144" w14:textId="77777777" w:rsidR="007A1568" w:rsidRDefault="007A1568" w:rsidP="00D559D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4CC79554" w14:textId="77777777" w:rsidR="007A1568" w:rsidRDefault="007A1568" w:rsidP="00D559D2">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2A29112E" w14:textId="77777777" w:rsidR="007A1568" w:rsidRPr="00512722" w:rsidRDefault="007A1568" w:rsidP="00485E6F">
      <w:pPr>
        <w:pStyle w:val="PITextkrper"/>
        <w:rPr>
          <w:b/>
          <w:bCs/>
          <w:sz w:val="18"/>
          <w:szCs w:val="18"/>
        </w:rPr>
      </w:pPr>
    </w:p>
    <w:sectPr w:rsidR="007A1568" w:rsidRPr="00512722"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C2F6" w14:textId="77777777" w:rsidR="00C7058A" w:rsidRDefault="00C7058A">
      <w:r>
        <w:separator/>
      </w:r>
    </w:p>
  </w:endnote>
  <w:endnote w:type="continuationSeparator" w:id="0">
    <w:p w14:paraId="6811283D" w14:textId="77777777" w:rsidR="00C7058A" w:rsidRDefault="00C7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FAF79B0"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12722">
      <w:rPr>
        <w:rFonts w:ascii="Arial" w:hAnsi="Arial" w:cs="Arial"/>
        <w:noProof/>
        <w:snapToGrid w:val="0"/>
        <w:sz w:val="16"/>
      </w:rPr>
      <w:t>WTH1PI1703</w:t>
    </w:r>
    <w:r w:rsidR="007A1568">
      <w:rPr>
        <w:rFonts w:ascii="Arial" w:hAnsi="Arial" w:cs="Arial"/>
        <w:noProof/>
        <w:snapToGrid w:val="0"/>
        <w:sz w:val="16"/>
      </w:rPr>
      <w:t>_en</w:t>
    </w:r>
    <w:r w:rsidRPr="00A74816">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1AD6A" w14:textId="77777777" w:rsidR="00C7058A" w:rsidRDefault="00C7058A">
      <w:r>
        <w:separator/>
      </w:r>
    </w:p>
  </w:footnote>
  <w:footnote w:type="continuationSeparator" w:id="0">
    <w:p w14:paraId="21DE813C" w14:textId="77777777" w:rsidR="00C7058A" w:rsidRDefault="00C7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4"/>
  </w:num>
  <w:num w:numId="2" w16cid:durableId="1599752637">
    <w:abstractNumId w:val="1"/>
  </w:num>
  <w:num w:numId="3" w16cid:durableId="738984141">
    <w:abstractNumId w:val="2"/>
  </w:num>
  <w:num w:numId="4" w16cid:durableId="657422412">
    <w:abstractNumId w:val="3"/>
  </w:num>
  <w:num w:numId="5" w16cid:durableId="78643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15D2"/>
    <w:rsid w:val="000904AA"/>
    <w:rsid w:val="000909E1"/>
    <w:rsid w:val="00094474"/>
    <w:rsid w:val="0009455D"/>
    <w:rsid w:val="000A09B0"/>
    <w:rsid w:val="000A13E8"/>
    <w:rsid w:val="000A486B"/>
    <w:rsid w:val="000A550E"/>
    <w:rsid w:val="000A70FF"/>
    <w:rsid w:val="000B28AB"/>
    <w:rsid w:val="000B4E60"/>
    <w:rsid w:val="000B56A3"/>
    <w:rsid w:val="000B59CE"/>
    <w:rsid w:val="000B6091"/>
    <w:rsid w:val="000B6B5A"/>
    <w:rsid w:val="000B6F5F"/>
    <w:rsid w:val="000C23E9"/>
    <w:rsid w:val="000C3C4E"/>
    <w:rsid w:val="000C7562"/>
    <w:rsid w:val="000D1E12"/>
    <w:rsid w:val="000D40B1"/>
    <w:rsid w:val="000D4A5F"/>
    <w:rsid w:val="000D68D7"/>
    <w:rsid w:val="000E023F"/>
    <w:rsid w:val="000E4B87"/>
    <w:rsid w:val="000E5647"/>
    <w:rsid w:val="000E56EE"/>
    <w:rsid w:val="000E61B4"/>
    <w:rsid w:val="000E6F27"/>
    <w:rsid w:val="000E72A3"/>
    <w:rsid w:val="000F4BBA"/>
    <w:rsid w:val="00100528"/>
    <w:rsid w:val="00101B6C"/>
    <w:rsid w:val="00102297"/>
    <w:rsid w:val="00106E99"/>
    <w:rsid w:val="0011071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489"/>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F9D"/>
    <w:rsid w:val="00216AD1"/>
    <w:rsid w:val="00217CC2"/>
    <w:rsid w:val="00217FD0"/>
    <w:rsid w:val="00220558"/>
    <w:rsid w:val="0022152F"/>
    <w:rsid w:val="00225D7A"/>
    <w:rsid w:val="00226800"/>
    <w:rsid w:val="00230996"/>
    <w:rsid w:val="002329D1"/>
    <w:rsid w:val="0023483C"/>
    <w:rsid w:val="00236438"/>
    <w:rsid w:val="00240A6A"/>
    <w:rsid w:val="00243D1A"/>
    <w:rsid w:val="00244F5D"/>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1"/>
    <w:rsid w:val="00281ACE"/>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4B70"/>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27AC1"/>
    <w:rsid w:val="003368B2"/>
    <w:rsid w:val="003375B0"/>
    <w:rsid w:val="00341B97"/>
    <w:rsid w:val="0034472B"/>
    <w:rsid w:val="00346E77"/>
    <w:rsid w:val="00347536"/>
    <w:rsid w:val="00347F46"/>
    <w:rsid w:val="00355E1C"/>
    <w:rsid w:val="00356C16"/>
    <w:rsid w:val="00357372"/>
    <w:rsid w:val="00364D43"/>
    <w:rsid w:val="00366479"/>
    <w:rsid w:val="003668D1"/>
    <w:rsid w:val="0037012B"/>
    <w:rsid w:val="003701B1"/>
    <w:rsid w:val="00372533"/>
    <w:rsid w:val="00376468"/>
    <w:rsid w:val="003814F9"/>
    <w:rsid w:val="003822CF"/>
    <w:rsid w:val="0038399C"/>
    <w:rsid w:val="00383D0E"/>
    <w:rsid w:val="003851A9"/>
    <w:rsid w:val="00392336"/>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5725"/>
    <w:rsid w:val="0042615E"/>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635"/>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2722"/>
    <w:rsid w:val="005133F8"/>
    <w:rsid w:val="00516D0B"/>
    <w:rsid w:val="00525673"/>
    <w:rsid w:val="00525AEC"/>
    <w:rsid w:val="00530FC0"/>
    <w:rsid w:val="005327C7"/>
    <w:rsid w:val="005331A3"/>
    <w:rsid w:val="00535659"/>
    <w:rsid w:val="00537CB9"/>
    <w:rsid w:val="005405B1"/>
    <w:rsid w:val="005421CB"/>
    <w:rsid w:val="00545537"/>
    <w:rsid w:val="00550D3E"/>
    <w:rsid w:val="005538CF"/>
    <w:rsid w:val="00556A0C"/>
    <w:rsid w:val="00561524"/>
    <w:rsid w:val="005642D6"/>
    <w:rsid w:val="00571E32"/>
    <w:rsid w:val="00572009"/>
    <w:rsid w:val="005724EE"/>
    <w:rsid w:val="00574987"/>
    <w:rsid w:val="005757A4"/>
    <w:rsid w:val="005758B7"/>
    <w:rsid w:val="00576B33"/>
    <w:rsid w:val="00577058"/>
    <w:rsid w:val="005770FD"/>
    <w:rsid w:val="00577D8A"/>
    <w:rsid w:val="00581536"/>
    <w:rsid w:val="00581601"/>
    <w:rsid w:val="00584F4C"/>
    <w:rsid w:val="00587F00"/>
    <w:rsid w:val="005904CD"/>
    <w:rsid w:val="0059367F"/>
    <w:rsid w:val="005A7BE2"/>
    <w:rsid w:val="005B0D6D"/>
    <w:rsid w:val="005B3306"/>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0C3B"/>
    <w:rsid w:val="0062517E"/>
    <w:rsid w:val="00625C04"/>
    <w:rsid w:val="006303C1"/>
    <w:rsid w:val="006314F1"/>
    <w:rsid w:val="00633776"/>
    <w:rsid w:val="0063467B"/>
    <w:rsid w:val="0063628E"/>
    <w:rsid w:val="00636624"/>
    <w:rsid w:val="006503AE"/>
    <w:rsid w:val="00653582"/>
    <w:rsid w:val="0065536A"/>
    <w:rsid w:val="00656ACE"/>
    <w:rsid w:val="00657EAF"/>
    <w:rsid w:val="00663854"/>
    <w:rsid w:val="00663CA9"/>
    <w:rsid w:val="0066406D"/>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B05BF"/>
    <w:rsid w:val="006B3831"/>
    <w:rsid w:val="006B3F8F"/>
    <w:rsid w:val="006B50EA"/>
    <w:rsid w:val="006B56DA"/>
    <w:rsid w:val="006B5888"/>
    <w:rsid w:val="006C2AA9"/>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BEC"/>
    <w:rsid w:val="0071735D"/>
    <w:rsid w:val="00721BD1"/>
    <w:rsid w:val="00723236"/>
    <w:rsid w:val="00724D2B"/>
    <w:rsid w:val="00727453"/>
    <w:rsid w:val="0073468B"/>
    <w:rsid w:val="0073482F"/>
    <w:rsid w:val="007367F4"/>
    <w:rsid w:val="00740F24"/>
    <w:rsid w:val="00741069"/>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1568"/>
    <w:rsid w:val="007A4345"/>
    <w:rsid w:val="007B24FD"/>
    <w:rsid w:val="007C1E35"/>
    <w:rsid w:val="007C335A"/>
    <w:rsid w:val="007C42E6"/>
    <w:rsid w:val="007C79D2"/>
    <w:rsid w:val="007D400B"/>
    <w:rsid w:val="007D7B8B"/>
    <w:rsid w:val="007E16F3"/>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8A8"/>
    <w:rsid w:val="00831C63"/>
    <w:rsid w:val="00832040"/>
    <w:rsid w:val="00834A7F"/>
    <w:rsid w:val="00837EBF"/>
    <w:rsid w:val="00840B24"/>
    <w:rsid w:val="00843488"/>
    <w:rsid w:val="008443E7"/>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9091D"/>
    <w:rsid w:val="00892FF0"/>
    <w:rsid w:val="00897B98"/>
    <w:rsid w:val="008A2AFC"/>
    <w:rsid w:val="008A6395"/>
    <w:rsid w:val="008A648E"/>
    <w:rsid w:val="008B0135"/>
    <w:rsid w:val="008B145F"/>
    <w:rsid w:val="008B2299"/>
    <w:rsid w:val="008B7643"/>
    <w:rsid w:val="008C4506"/>
    <w:rsid w:val="008C6059"/>
    <w:rsid w:val="008D126B"/>
    <w:rsid w:val="008D367B"/>
    <w:rsid w:val="008D3DFC"/>
    <w:rsid w:val="008D4149"/>
    <w:rsid w:val="008E0894"/>
    <w:rsid w:val="008E0C0C"/>
    <w:rsid w:val="008E1E5C"/>
    <w:rsid w:val="008E6771"/>
    <w:rsid w:val="008F13AD"/>
    <w:rsid w:val="008F3008"/>
    <w:rsid w:val="008F3827"/>
    <w:rsid w:val="008F6F03"/>
    <w:rsid w:val="00901011"/>
    <w:rsid w:val="009011CE"/>
    <w:rsid w:val="00902CCA"/>
    <w:rsid w:val="00903880"/>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1EE1"/>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F20DB"/>
    <w:rsid w:val="009F2E8B"/>
    <w:rsid w:val="009F6962"/>
    <w:rsid w:val="009F70D6"/>
    <w:rsid w:val="00A02CED"/>
    <w:rsid w:val="00A03564"/>
    <w:rsid w:val="00A037C6"/>
    <w:rsid w:val="00A06FFA"/>
    <w:rsid w:val="00A1094A"/>
    <w:rsid w:val="00A13E4A"/>
    <w:rsid w:val="00A22B86"/>
    <w:rsid w:val="00A2489E"/>
    <w:rsid w:val="00A262DC"/>
    <w:rsid w:val="00A3000D"/>
    <w:rsid w:val="00A330D3"/>
    <w:rsid w:val="00A402B9"/>
    <w:rsid w:val="00A42BE8"/>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67FA1"/>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2D80"/>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0AFF"/>
    <w:rsid w:val="00B61AE2"/>
    <w:rsid w:val="00B66573"/>
    <w:rsid w:val="00B6690A"/>
    <w:rsid w:val="00B67314"/>
    <w:rsid w:val="00B74D5C"/>
    <w:rsid w:val="00B757F2"/>
    <w:rsid w:val="00B8501E"/>
    <w:rsid w:val="00B911CF"/>
    <w:rsid w:val="00B945A9"/>
    <w:rsid w:val="00B94DAE"/>
    <w:rsid w:val="00B9589D"/>
    <w:rsid w:val="00B9685D"/>
    <w:rsid w:val="00BA04FB"/>
    <w:rsid w:val="00BA19ED"/>
    <w:rsid w:val="00BA2BD7"/>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2973"/>
    <w:rsid w:val="00C437CE"/>
    <w:rsid w:val="00C43E68"/>
    <w:rsid w:val="00C46F9A"/>
    <w:rsid w:val="00C47605"/>
    <w:rsid w:val="00C500C5"/>
    <w:rsid w:val="00C537A3"/>
    <w:rsid w:val="00C5688B"/>
    <w:rsid w:val="00C62222"/>
    <w:rsid w:val="00C626B6"/>
    <w:rsid w:val="00C63D8C"/>
    <w:rsid w:val="00C645F4"/>
    <w:rsid w:val="00C70245"/>
    <w:rsid w:val="00C7058A"/>
    <w:rsid w:val="00C71265"/>
    <w:rsid w:val="00C7439C"/>
    <w:rsid w:val="00C8403A"/>
    <w:rsid w:val="00C87944"/>
    <w:rsid w:val="00C9372B"/>
    <w:rsid w:val="00C9434E"/>
    <w:rsid w:val="00CA0BF9"/>
    <w:rsid w:val="00CB06BF"/>
    <w:rsid w:val="00CB56BA"/>
    <w:rsid w:val="00CB6417"/>
    <w:rsid w:val="00CB765C"/>
    <w:rsid w:val="00CC1740"/>
    <w:rsid w:val="00CC1D85"/>
    <w:rsid w:val="00CC318F"/>
    <w:rsid w:val="00CC31B8"/>
    <w:rsid w:val="00CC5E31"/>
    <w:rsid w:val="00CD080A"/>
    <w:rsid w:val="00CD1C4E"/>
    <w:rsid w:val="00CD2389"/>
    <w:rsid w:val="00CE0CA4"/>
    <w:rsid w:val="00CE32FA"/>
    <w:rsid w:val="00CE3661"/>
    <w:rsid w:val="00CE5015"/>
    <w:rsid w:val="00CF06BD"/>
    <w:rsid w:val="00CF12AC"/>
    <w:rsid w:val="00CF2554"/>
    <w:rsid w:val="00CF4A4B"/>
    <w:rsid w:val="00CF4A78"/>
    <w:rsid w:val="00CF5234"/>
    <w:rsid w:val="00CF60CE"/>
    <w:rsid w:val="00CF7932"/>
    <w:rsid w:val="00D10313"/>
    <w:rsid w:val="00D10A7D"/>
    <w:rsid w:val="00D11C40"/>
    <w:rsid w:val="00D124AD"/>
    <w:rsid w:val="00D16818"/>
    <w:rsid w:val="00D23260"/>
    <w:rsid w:val="00D261A7"/>
    <w:rsid w:val="00D27151"/>
    <w:rsid w:val="00D3047E"/>
    <w:rsid w:val="00D35686"/>
    <w:rsid w:val="00D4081F"/>
    <w:rsid w:val="00D464D9"/>
    <w:rsid w:val="00D471E2"/>
    <w:rsid w:val="00D54A29"/>
    <w:rsid w:val="00D564BF"/>
    <w:rsid w:val="00D60172"/>
    <w:rsid w:val="00D64AD3"/>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3FF5"/>
    <w:rsid w:val="00E041C8"/>
    <w:rsid w:val="00E06AE9"/>
    <w:rsid w:val="00E102CD"/>
    <w:rsid w:val="00E13FF1"/>
    <w:rsid w:val="00E21D22"/>
    <w:rsid w:val="00E235A7"/>
    <w:rsid w:val="00E27071"/>
    <w:rsid w:val="00E277BA"/>
    <w:rsid w:val="00E3345B"/>
    <w:rsid w:val="00E408DA"/>
    <w:rsid w:val="00E41C6B"/>
    <w:rsid w:val="00E4697E"/>
    <w:rsid w:val="00E56EB0"/>
    <w:rsid w:val="00E57E93"/>
    <w:rsid w:val="00E62052"/>
    <w:rsid w:val="00E63CB1"/>
    <w:rsid w:val="00E64D39"/>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2CD"/>
    <w:rsid w:val="00ED0389"/>
    <w:rsid w:val="00ED24DF"/>
    <w:rsid w:val="00ED67AA"/>
    <w:rsid w:val="00EE17CD"/>
    <w:rsid w:val="00EE2237"/>
    <w:rsid w:val="00EE3F9D"/>
    <w:rsid w:val="00EE59B9"/>
    <w:rsid w:val="00EE6C4D"/>
    <w:rsid w:val="00EF6119"/>
    <w:rsid w:val="00EF62C4"/>
    <w:rsid w:val="00EF7895"/>
    <w:rsid w:val="00F020E7"/>
    <w:rsid w:val="00F02E63"/>
    <w:rsid w:val="00F0510F"/>
    <w:rsid w:val="00F06103"/>
    <w:rsid w:val="00F11AAA"/>
    <w:rsid w:val="00F1272C"/>
    <w:rsid w:val="00F13328"/>
    <w:rsid w:val="00F14F24"/>
    <w:rsid w:val="00F1580B"/>
    <w:rsid w:val="00F2437A"/>
    <w:rsid w:val="00F26A7D"/>
    <w:rsid w:val="00F2706C"/>
    <w:rsid w:val="00F27950"/>
    <w:rsid w:val="00F3273D"/>
    <w:rsid w:val="00F34F46"/>
    <w:rsid w:val="00F55A20"/>
    <w:rsid w:val="00F56744"/>
    <w:rsid w:val="00F61BC9"/>
    <w:rsid w:val="00F630C4"/>
    <w:rsid w:val="00F633C4"/>
    <w:rsid w:val="00F7288A"/>
    <w:rsid w:val="00F74A85"/>
    <w:rsid w:val="00F74E4F"/>
    <w:rsid w:val="00F7592B"/>
    <w:rsid w:val="00F9549B"/>
    <w:rsid w:val="00FA02BD"/>
    <w:rsid w:val="00FA0A2F"/>
    <w:rsid w:val="00FA19AC"/>
    <w:rsid w:val="00FA3D93"/>
    <w:rsid w:val="00FB0CB6"/>
    <w:rsid w:val="00FB417E"/>
    <w:rsid w:val="00FC1D8F"/>
    <w:rsid w:val="00FC42F7"/>
    <w:rsid w:val="00FC50B8"/>
    <w:rsid w:val="00FC7446"/>
    <w:rsid w:val="00FD2691"/>
    <w:rsid w:val="00FD3927"/>
    <w:rsid w:val="00FD436E"/>
    <w:rsid w:val="00FD48FB"/>
    <w:rsid w:val="00FE1859"/>
    <w:rsid w:val="00FE4052"/>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90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765013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23546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2557472">
      <w:bodyDiv w:val="1"/>
      <w:marLeft w:val="0"/>
      <w:marRight w:val="0"/>
      <w:marTop w:val="0"/>
      <w:marBottom w:val="0"/>
      <w:divBdr>
        <w:top w:val="none" w:sz="0" w:space="0" w:color="auto"/>
        <w:left w:val="none" w:sz="0" w:space="0" w:color="auto"/>
        <w:bottom w:val="none" w:sz="0" w:space="0" w:color="auto"/>
        <w:right w:val="none" w:sz="0" w:space="0" w:color="auto"/>
      </w:divBdr>
    </w:div>
    <w:div w:id="1111514866">
      <w:bodyDiv w:val="1"/>
      <w:marLeft w:val="0"/>
      <w:marRight w:val="0"/>
      <w:marTop w:val="0"/>
      <w:marBottom w:val="0"/>
      <w:divBdr>
        <w:top w:val="none" w:sz="0" w:space="0" w:color="auto"/>
        <w:left w:val="none" w:sz="0" w:space="0" w:color="auto"/>
        <w:bottom w:val="none" w:sz="0" w:space="0" w:color="auto"/>
        <w:right w:val="none" w:sz="0" w:space="0" w:color="auto"/>
      </w:divBdr>
    </w:div>
    <w:div w:id="1115247301">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8576121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35-sepic-inductors"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E-MCRI?s"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4111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2025-08-05T08:50:00Z</dcterms:created>
  <dcterms:modified xsi:type="dcterms:W3CDTF">2025-08-05T08:50:00Z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