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4EB8" w14:textId="77777777" w:rsidR="0013757C" w:rsidRPr="009C4CE4" w:rsidRDefault="00B938B7" w:rsidP="000114FD">
      <w:pPr>
        <w:pStyle w:val="PITitel"/>
      </w:pPr>
      <w:r>
        <w:rPr>
          <w:noProof/>
        </w:rPr>
        <w:t>Medien</w:t>
      </w:r>
      <w:r w:rsidR="0013757C" w:rsidRPr="009C4CE4">
        <w:rPr>
          <w:noProof/>
        </w:rPr>
        <w:t>information</w:t>
      </w:r>
    </w:p>
    <w:p w14:paraId="21D290EF" w14:textId="2E520C09" w:rsidR="00BB1E5C" w:rsidRPr="009C4CE4" w:rsidRDefault="00626E09" w:rsidP="006018C4">
      <w:pPr>
        <w:pStyle w:val="PISubhead"/>
        <w:tabs>
          <w:tab w:val="center" w:pos="3898"/>
        </w:tabs>
      </w:pPr>
      <w:r>
        <w:t xml:space="preserve">Symeo stattet Radarsensor </w:t>
      </w:r>
      <w:r w:rsidRPr="002A6C4A">
        <w:t>LPR-1DHP-291</w:t>
      </w:r>
      <w:r>
        <w:t xml:space="preserve"> mit </w:t>
      </w:r>
      <w:proofErr w:type="spellStart"/>
      <w:r>
        <w:t>Bidirektionalität</w:t>
      </w:r>
      <w:proofErr w:type="spellEnd"/>
      <w:r>
        <w:t xml:space="preserve"> aus</w:t>
      </w:r>
    </w:p>
    <w:p w14:paraId="260EDB1F" w14:textId="23B3FF6F" w:rsidR="00D055AA" w:rsidRPr="009C4CE4" w:rsidRDefault="00626E09" w:rsidP="000114FD">
      <w:pPr>
        <w:pStyle w:val="PIHead"/>
      </w:pPr>
      <w:r>
        <w:t>Messdaten an beiden Sekundärradarsensoren verfügbar</w:t>
      </w:r>
    </w:p>
    <w:p w14:paraId="22F90AE2" w14:textId="15D7D611" w:rsidR="009B548A" w:rsidRPr="009C4CE4" w:rsidRDefault="00710457" w:rsidP="00E14A68">
      <w:pPr>
        <w:pStyle w:val="PILead"/>
      </w:pPr>
      <w:proofErr w:type="spellStart"/>
      <w:r w:rsidRPr="009C4CE4">
        <w:t>Neubiberg</w:t>
      </w:r>
      <w:proofErr w:type="spellEnd"/>
      <w:r w:rsidR="00610647" w:rsidRPr="00BE04AF">
        <w:t>,</w:t>
      </w:r>
      <w:r w:rsidR="00A44F23" w:rsidRPr="00BE04AF">
        <w:t xml:space="preserve"> </w:t>
      </w:r>
      <w:r w:rsidR="009F784E">
        <w:t>03</w:t>
      </w:r>
      <w:r w:rsidR="00886352" w:rsidRPr="00BE04AF">
        <w:t xml:space="preserve">. </w:t>
      </w:r>
      <w:r w:rsidR="009F784E">
        <w:t>April</w:t>
      </w:r>
      <w:r w:rsidR="00886352" w:rsidRPr="009C4CE4">
        <w:t xml:space="preserve"> </w:t>
      </w:r>
      <w:r w:rsidR="00AF3B70" w:rsidRPr="009C4CE4">
        <w:t>20</w:t>
      </w:r>
      <w:r w:rsidR="008E2A31">
        <w:t>2</w:t>
      </w:r>
      <w:r w:rsidR="00AB4557">
        <w:t>5</w:t>
      </w:r>
      <w:r w:rsidR="008B6421" w:rsidRPr="009C4CE4">
        <w:t xml:space="preserve"> –</w:t>
      </w:r>
      <w:r w:rsidR="002A7076" w:rsidRPr="009C4CE4">
        <w:t xml:space="preserve"> </w:t>
      </w:r>
      <w:r w:rsidR="00626E09" w:rsidRPr="002A6C4A">
        <w:t>LPR-1DHP-291</w:t>
      </w:r>
      <w:r w:rsidR="00626E09">
        <w:t xml:space="preserve"> ist ein im </w:t>
      </w:r>
      <w:r w:rsidR="00626E09" w:rsidRPr="002A6C4A">
        <w:t>60</w:t>
      </w:r>
      <w:r w:rsidR="00626E09">
        <w:t>-</w:t>
      </w:r>
      <w:r w:rsidR="00626E09" w:rsidRPr="002A6C4A">
        <w:t>GHz-</w:t>
      </w:r>
      <w:r w:rsidR="00626E09">
        <w:t>Band arbeitender Radar</w:t>
      </w:r>
      <w:r w:rsidR="0095146F">
        <w:t>s</w:t>
      </w:r>
      <w:r w:rsidR="00626E09">
        <w:t xml:space="preserve">ensor von Symeo. Der Sensor basiert auf der </w:t>
      </w:r>
      <w:r w:rsidR="00626E09" w:rsidRPr="00B66A4F">
        <w:t>patentierten LPR</w:t>
      </w:r>
      <w:r w:rsidR="00626E09" w:rsidRPr="00B66A4F">
        <w:rPr>
          <w:vertAlign w:val="superscript"/>
        </w:rPr>
        <w:t>®</w:t>
      </w:r>
      <w:r w:rsidR="00626E09" w:rsidRPr="00B66A4F">
        <w:t>-Technologie (</w:t>
      </w:r>
      <w:proofErr w:type="spellStart"/>
      <w:r w:rsidR="00626E09" w:rsidRPr="00B66A4F">
        <w:t>Local</w:t>
      </w:r>
      <w:proofErr w:type="spellEnd"/>
      <w:r w:rsidR="00626E09" w:rsidRPr="00B66A4F">
        <w:t xml:space="preserve"> </w:t>
      </w:r>
      <w:proofErr w:type="spellStart"/>
      <w:r w:rsidR="00626E09" w:rsidRPr="00B66A4F">
        <w:t>Positioning</w:t>
      </w:r>
      <w:proofErr w:type="spellEnd"/>
      <w:r w:rsidR="00626E09" w:rsidRPr="00B66A4F">
        <w:t xml:space="preserve"> Radar)</w:t>
      </w:r>
      <w:r w:rsidR="00626E09">
        <w:t xml:space="preserve"> und hat sich beispielsweise in der Absicherung von Portalkränen in Containerumschlagplätzen oder </w:t>
      </w:r>
      <w:r w:rsidR="0095146F">
        <w:t xml:space="preserve">bei </w:t>
      </w:r>
      <w:r w:rsidR="00626E09">
        <w:t>Schüttgutlogistikanwendungen bewährt. In Sekundärradaranwendungen</w:t>
      </w:r>
      <w:r w:rsidR="0095146F">
        <w:t>,</w:t>
      </w:r>
      <w:r w:rsidR="00626E09">
        <w:t xml:space="preserve"> bei denen zwei </w:t>
      </w:r>
      <w:r w:rsidR="00626E09" w:rsidRPr="002A6C4A">
        <w:t>LPR-1DHP-291</w:t>
      </w:r>
      <w:r w:rsidR="00626E09">
        <w:t xml:space="preserve"> Distanzen bis </w:t>
      </w:r>
      <w:r w:rsidR="00F87687">
        <w:t xml:space="preserve">300 </w:t>
      </w:r>
      <w:r w:rsidR="00626E09">
        <w:t xml:space="preserve">Meter </w:t>
      </w:r>
      <w:r w:rsidR="00A81295">
        <w:t>bestimmen können, ist jetzt Bidirektionalität standardmäßig</w:t>
      </w:r>
      <w:r w:rsidR="0095146F">
        <w:t xml:space="preserve"> als</w:t>
      </w:r>
      <w:r w:rsidR="00A81295">
        <w:t xml:space="preserve"> </w:t>
      </w:r>
      <w:r w:rsidR="009E5BCA">
        <w:t xml:space="preserve">nutzbare Option </w:t>
      </w:r>
      <w:r w:rsidR="00A81295">
        <w:t>realisiert. Das bedeutet, dass die Messwerte an beiden Sensoren zur Verfügung stehen</w:t>
      </w:r>
      <w:r w:rsidR="0037450E">
        <w:t>.</w:t>
      </w:r>
    </w:p>
    <w:p w14:paraId="472332AE" w14:textId="4A52C3D9" w:rsidR="00DB765D" w:rsidRDefault="00A81295" w:rsidP="00711753">
      <w:pPr>
        <w:pStyle w:val="PITextkrper"/>
      </w:pPr>
      <w:r>
        <w:rPr>
          <w:lang w:val="de-DE"/>
        </w:rPr>
        <w:t>Beim Sekundärradar sendet ein Sensor ein Radarsignal, das von einem zweiten Sensor reflektiert wird</w:t>
      </w:r>
      <w:r w:rsidR="00135E95">
        <w:rPr>
          <w:lang w:val="de-DE"/>
        </w:rPr>
        <w:t>.</w:t>
      </w:r>
      <w:r>
        <w:rPr>
          <w:lang w:val="de-DE"/>
        </w:rPr>
        <w:t xml:space="preserve"> Dies ist zuverlässiger als die </w:t>
      </w:r>
      <w:r w:rsidR="0095146F">
        <w:rPr>
          <w:lang w:val="de-DE"/>
        </w:rPr>
        <w:t xml:space="preserve">Reflexion </w:t>
      </w:r>
      <w:r>
        <w:rPr>
          <w:lang w:val="de-DE"/>
        </w:rPr>
        <w:t xml:space="preserve">durch ein Objekt. Dank einer Firmware-Erweiterung können die beiden Sensoren </w:t>
      </w:r>
      <w:r w:rsidR="009E5BCA">
        <w:rPr>
          <w:lang w:val="de-DE"/>
        </w:rPr>
        <w:t xml:space="preserve">sich jetzt beim Senden und Antworten abwechseln. Die wichtigste Nutzung dieser Funktion ist </w:t>
      </w:r>
      <w:r w:rsidR="009E5BCA" w:rsidRPr="00ED338B">
        <w:t>die Einrichtung einer Antikollisionslösung zwischen zwei Kranbrücken auf einer Ebene.</w:t>
      </w:r>
      <w:r w:rsidR="009E5BCA">
        <w:t xml:space="preserve"> Ohne Bidirektionalität würden die Messwerte nur beim Master-Sensor vorliegen und die Daten müssten über Kabel- oder Funkverbindung an die zweite Kranbrücke übermittelt werden, um dort zum Beispiel den Kranführer vor einer Kollisionsgefahr zu warnen.</w:t>
      </w:r>
    </w:p>
    <w:p w14:paraId="61AB5963" w14:textId="74B86534" w:rsidR="00820822" w:rsidRDefault="009E5BCA" w:rsidP="009E5BCA">
      <w:pPr>
        <w:pStyle w:val="PITextkrper"/>
        <w:rPr>
          <w:lang w:val="de-DE"/>
        </w:rPr>
      </w:pPr>
      <w:r>
        <w:t xml:space="preserve">Mit der Einführung der Bidirektionalität am </w:t>
      </w:r>
      <w:r w:rsidRPr="002A6C4A">
        <w:t>LPR-1DHP-291</w:t>
      </w:r>
      <w:r>
        <w:t xml:space="preserve"> sind nun alle Radarsensoren von Symeo mit diesem Feature ausgestattet.</w:t>
      </w:r>
      <w:r w:rsidR="00C46A86">
        <w:rPr>
          <w:lang w:val="de-DE"/>
        </w:rPr>
        <w:t xml:space="preserve"> </w:t>
      </w:r>
    </w:p>
    <w:p w14:paraId="05911B10" w14:textId="77777777" w:rsidR="00995783" w:rsidRPr="009C4CE4" w:rsidRDefault="00995783" w:rsidP="00EF0B82">
      <w:pPr>
        <w:pStyle w:val="PITextkrper"/>
        <w:pBdr>
          <w:bottom w:val="single" w:sz="6" w:space="1" w:color="auto"/>
        </w:pBdr>
        <w:rPr>
          <w:lang w:val="de-DE"/>
        </w:rPr>
      </w:pPr>
    </w:p>
    <w:p w14:paraId="2AC7DE1A" w14:textId="77777777" w:rsidR="00A918F0" w:rsidRPr="009C4CE4" w:rsidRDefault="00A918F0" w:rsidP="00A918F0">
      <w:pPr>
        <w:pStyle w:val="PITextkrper"/>
        <w:pBdr>
          <w:bottom w:val="single" w:sz="6" w:space="1" w:color="auto"/>
        </w:pBdr>
        <w:rPr>
          <w:lang w:val="de-DE"/>
        </w:rPr>
      </w:pPr>
    </w:p>
    <w:p w14:paraId="50A04224" w14:textId="77777777" w:rsidR="00A918F0" w:rsidRPr="009C4CE4" w:rsidRDefault="00A918F0" w:rsidP="00A918F0">
      <w:pPr>
        <w:pStyle w:val="PIAbspann"/>
        <w:outlineLvl w:val="0"/>
        <w:rPr>
          <w:b/>
          <w:bCs/>
          <w:lang w:val="de-DE"/>
        </w:rPr>
      </w:pPr>
      <w:r w:rsidRPr="009C4CE4">
        <w:rPr>
          <w:b/>
          <w:bCs/>
          <w:lang w:val="de-DE"/>
        </w:rPr>
        <w:t>Verfügbares Bildmaterial</w:t>
      </w:r>
    </w:p>
    <w:p w14:paraId="2F164FD9" w14:textId="77777777" w:rsidR="00A918F0" w:rsidRDefault="00A918F0" w:rsidP="005F517C">
      <w:pPr>
        <w:pStyle w:val="PIAbspann"/>
        <w:spacing w:after="0"/>
        <w:jc w:val="left"/>
        <w:rPr>
          <w:lang w:val="de-DE"/>
        </w:rPr>
      </w:pPr>
      <w:r w:rsidRPr="009C4CE4">
        <w:rPr>
          <w:lang w:val="de-DE"/>
        </w:rPr>
        <w:t>Folgendes Bildmaterial steht druckfähig im Internet zum Download bereit:</w:t>
      </w:r>
      <w:r w:rsidRPr="009C4CE4">
        <w:rPr>
          <w:lang w:val="de-DE"/>
        </w:rPr>
        <w:br/>
      </w:r>
      <w:hyperlink r:id="rId7" w:history="1">
        <w:r w:rsidR="005F517C" w:rsidRPr="00B61052">
          <w:rPr>
            <w:rStyle w:val="Hyperlink"/>
            <w:rFonts w:cs="Arial"/>
            <w:lang w:val="de-DE"/>
          </w:rPr>
          <w:t>https://kk.htcm.de/press-releases/symeo/</w:t>
        </w:r>
      </w:hyperlink>
    </w:p>
    <w:p w14:paraId="0601F979" w14:textId="77777777" w:rsidR="005F517C" w:rsidRPr="009C4CE4" w:rsidRDefault="005F517C" w:rsidP="005F517C">
      <w:pPr>
        <w:pStyle w:val="PIAbspann"/>
        <w:spacing w:after="0"/>
        <w:jc w:val="left"/>
        <w:rPr>
          <w:lang w:val="de-DE"/>
        </w:rPr>
      </w:pPr>
    </w:p>
    <w:tbl>
      <w:tblPr>
        <w:tblW w:w="8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039"/>
      </w:tblGrid>
      <w:tr w:rsidR="009E5BCA" w:rsidRPr="007A4CFB" w14:paraId="51D67A0B" w14:textId="469B1D05" w:rsidTr="009E5BCA">
        <w:trPr>
          <w:trHeight w:val="1878"/>
        </w:trPr>
        <w:tc>
          <w:tcPr>
            <w:tcW w:w="4039" w:type="dxa"/>
          </w:tcPr>
          <w:p w14:paraId="5D70610F" w14:textId="6532D60A" w:rsidR="009E5BCA" w:rsidRDefault="00866BF9" w:rsidP="009E5BCA">
            <w:pPr>
              <w:spacing w:before="120" w:after="120"/>
              <w:rPr>
                <w:b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28E99BB" wp14:editId="5296CD30">
                  <wp:extent cx="2475865" cy="1392555"/>
                  <wp:effectExtent l="0" t="0" r="635" b="0"/>
                  <wp:docPr id="795884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86520" w14:textId="77777777" w:rsidR="009E5BCA" w:rsidRPr="00681EFE" w:rsidRDefault="009E5BCA" w:rsidP="009E5BCA">
            <w:pPr>
              <w:spacing w:before="120" w:after="120"/>
              <w:rPr>
                <w:sz w:val="16"/>
                <w:szCs w:val="16"/>
              </w:rPr>
            </w:pPr>
            <w:r w:rsidRPr="00681EFE">
              <w:rPr>
                <w:sz w:val="16"/>
                <w:szCs w:val="16"/>
              </w:rPr>
              <w:t>Bildquelle: Symeo</w:t>
            </w:r>
          </w:p>
          <w:p w14:paraId="48251654" w14:textId="4FE73F66" w:rsidR="009E5BCA" w:rsidRPr="007A4CFB" w:rsidRDefault="003C7F28" w:rsidP="009E5BCA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Eine </w:t>
            </w:r>
            <w:r w:rsidR="009E5BCA">
              <w:rPr>
                <w:b/>
                <w:sz w:val="16"/>
                <w:szCs w:val="16"/>
              </w:rPr>
              <w:t xml:space="preserve">typische Anwendung der </w:t>
            </w:r>
            <w:proofErr w:type="spellStart"/>
            <w:r w:rsidR="009E5BCA">
              <w:rPr>
                <w:b/>
                <w:sz w:val="16"/>
                <w:szCs w:val="16"/>
              </w:rPr>
              <w:t>Bidirektionalität</w:t>
            </w:r>
            <w:proofErr w:type="spellEnd"/>
            <w:r w:rsidR="009E5BCA">
              <w:rPr>
                <w:b/>
                <w:sz w:val="16"/>
                <w:szCs w:val="16"/>
              </w:rPr>
              <w:t xml:space="preserve"> ist </w:t>
            </w:r>
            <w:r>
              <w:rPr>
                <w:b/>
                <w:sz w:val="16"/>
                <w:szCs w:val="16"/>
              </w:rPr>
              <w:t xml:space="preserve">die </w:t>
            </w:r>
            <w:r w:rsidR="009E5BCA">
              <w:rPr>
                <w:b/>
                <w:sz w:val="16"/>
                <w:szCs w:val="16"/>
              </w:rPr>
              <w:t xml:space="preserve">Antikollisionslösung für zwei </w:t>
            </w:r>
            <w:r w:rsidR="009E5BCA" w:rsidRPr="00681EFE">
              <w:rPr>
                <w:b/>
                <w:sz w:val="16"/>
                <w:szCs w:val="16"/>
              </w:rPr>
              <w:t>Kranbrücken auf einer Ebene.</w:t>
            </w:r>
          </w:p>
        </w:tc>
        <w:tc>
          <w:tcPr>
            <w:tcW w:w="4039" w:type="dxa"/>
          </w:tcPr>
          <w:p w14:paraId="7310540E" w14:textId="3B7E5FD5" w:rsidR="00FA7BE2" w:rsidRDefault="00FC68C5" w:rsidP="00FA7BE2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3B0CD13D" wp14:editId="10CD9FF6">
                  <wp:extent cx="1371600" cy="1371600"/>
                  <wp:effectExtent l="0" t="0" r="0" b="0"/>
                  <wp:docPr id="173222651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5A262" w14:textId="77777777" w:rsidR="00FA7BE2" w:rsidRPr="00681EFE" w:rsidRDefault="00FA7BE2" w:rsidP="00FA7BE2">
            <w:pPr>
              <w:spacing w:before="120" w:after="120"/>
              <w:rPr>
                <w:sz w:val="16"/>
                <w:szCs w:val="16"/>
              </w:rPr>
            </w:pPr>
            <w:r w:rsidRPr="00681EFE">
              <w:rPr>
                <w:sz w:val="16"/>
                <w:szCs w:val="16"/>
              </w:rPr>
              <w:t>Bildquelle: Symeo</w:t>
            </w:r>
          </w:p>
          <w:p w14:paraId="47B518EA" w14:textId="11456207" w:rsidR="009E5BCA" w:rsidRPr="009E5BCA" w:rsidRDefault="00FA7BE2" w:rsidP="00FA7BE2">
            <w:pPr>
              <w:spacing w:after="120"/>
              <w:rPr>
                <w:b/>
                <w:noProof/>
                <w:sz w:val="24"/>
              </w:rPr>
            </w:pPr>
            <w:r w:rsidRPr="00FA7BE2">
              <w:rPr>
                <w:b/>
                <w:sz w:val="16"/>
                <w:szCs w:val="16"/>
              </w:rPr>
              <w:t xml:space="preserve">LPR-1DHP-291 </w:t>
            </w:r>
            <w:r>
              <w:rPr>
                <w:b/>
                <w:sz w:val="16"/>
                <w:szCs w:val="16"/>
              </w:rPr>
              <w:t>ist</w:t>
            </w:r>
            <w:r w:rsidRPr="00FA7BE2">
              <w:rPr>
                <w:b/>
                <w:sz w:val="16"/>
                <w:szCs w:val="16"/>
              </w:rPr>
              <w:t xml:space="preserve"> ein </w:t>
            </w:r>
            <w:proofErr w:type="gramStart"/>
            <w:r w:rsidRPr="00FA7BE2">
              <w:rPr>
                <w:b/>
                <w:sz w:val="16"/>
                <w:szCs w:val="16"/>
              </w:rPr>
              <w:t>extrem robuster</w:t>
            </w:r>
            <w:proofErr w:type="gramEnd"/>
            <w:r w:rsidRPr="00FA7BE2">
              <w:rPr>
                <w:b/>
                <w:sz w:val="16"/>
                <w:szCs w:val="16"/>
              </w:rPr>
              <w:t xml:space="preserve"> Radarsensor von Symeo für präzise Distanzmessung über längere Strecken.</w:t>
            </w:r>
          </w:p>
        </w:tc>
      </w:tr>
    </w:tbl>
    <w:p w14:paraId="2C14D68F" w14:textId="77777777" w:rsidR="00493CC3" w:rsidRDefault="00493CC3" w:rsidP="00493CC3">
      <w:pPr>
        <w:spacing w:after="120" w:line="280" w:lineRule="exact"/>
        <w:jc w:val="both"/>
        <w:rPr>
          <w:b/>
          <w:bCs/>
          <w:noProof/>
          <w:sz w:val="18"/>
          <w:szCs w:val="18"/>
          <w:lang w:val="de-DE"/>
        </w:rPr>
      </w:pPr>
    </w:p>
    <w:p w14:paraId="3677E844" w14:textId="77777777" w:rsidR="008D1404" w:rsidRPr="002A6C4A" w:rsidRDefault="008D1404" w:rsidP="008D1404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2A6C4A">
        <w:rPr>
          <w:b/>
          <w:bCs/>
          <w:sz w:val="18"/>
          <w:szCs w:val="18"/>
          <w:lang w:val="de-DE"/>
        </w:rPr>
        <w:t>Symeo GmbH</w:t>
      </w:r>
    </w:p>
    <w:p w14:paraId="520ED964" w14:textId="77777777" w:rsidR="004B7026" w:rsidRPr="002A6C4A" w:rsidRDefault="004B7026" w:rsidP="004B7026">
      <w:pPr>
        <w:pStyle w:val="PIAbspann"/>
        <w:ind w:right="850"/>
        <w:rPr>
          <w:lang w:val="de-DE"/>
        </w:rPr>
      </w:pPr>
      <w:r w:rsidRPr="002A6C4A">
        <w:rPr>
          <w:lang w:val="de-DE"/>
        </w:rPr>
        <w:t>Symeo entwickelt und vermarktet Produkte und Lösungen zur präzisen, berührungslosen und wartungsfreien Positionserfassung, Distanzmessung und Kollisionsvermeidung</w:t>
      </w:r>
      <w:r>
        <w:rPr>
          <w:lang w:val="de-DE"/>
        </w:rPr>
        <w:t>.</w:t>
      </w:r>
      <w:r w:rsidRPr="002A6C4A">
        <w:rPr>
          <w:lang w:val="de-DE"/>
        </w:rPr>
        <w:t xml:space="preserve"> Die Produkte </w:t>
      </w:r>
      <w:r>
        <w:rPr>
          <w:lang w:val="de-DE"/>
        </w:rPr>
        <w:t>von</w:t>
      </w:r>
      <w:r w:rsidRPr="002A6C4A">
        <w:rPr>
          <w:lang w:val="de-DE"/>
        </w:rPr>
        <w:t xml:space="preserve"> Symeo sind für Anwendungen in einem rauen Umfeld besonders robust konzipiert. </w:t>
      </w:r>
    </w:p>
    <w:p w14:paraId="1EB6B7D5" w14:textId="77777777" w:rsidR="004B7026" w:rsidRPr="002A6C4A" w:rsidRDefault="004B7026" w:rsidP="004B7026">
      <w:pPr>
        <w:pStyle w:val="PIAbspann"/>
        <w:ind w:right="850"/>
        <w:rPr>
          <w:lang w:val="de-DE"/>
        </w:rPr>
      </w:pPr>
      <w:r w:rsidRPr="002A6C4A">
        <w:rPr>
          <w:lang w:val="de-DE"/>
        </w:rPr>
        <w:t>Mit der LPR</w:t>
      </w:r>
      <w:r w:rsidRPr="002A6C4A">
        <w:rPr>
          <w:vertAlign w:val="superscript"/>
          <w:lang w:val="de-DE"/>
        </w:rPr>
        <w:t>®</w:t>
      </w:r>
      <w:r w:rsidRPr="002A6C4A">
        <w:rPr>
          <w:lang w:val="de-DE"/>
        </w:rPr>
        <w:t>-Ortungstechnik bietet Symeo ein für industrielle Applikationen ideal geeignetes, funkbasiertes und echtzeitfähiges Messsystem. Symeo verfügt über langjährige Erfahrung in der Entwicklung kostengünstiger und kundenspezifischer industrieller Lösungen auf Basis von LPR</w:t>
      </w:r>
      <w:r w:rsidRPr="002A6C4A">
        <w:rPr>
          <w:vertAlign w:val="superscript"/>
          <w:lang w:val="de-DE"/>
        </w:rPr>
        <w:t>®</w:t>
      </w:r>
      <w:r w:rsidRPr="002A6C4A">
        <w:rPr>
          <w:lang w:val="de-DE"/>
        </w:rPr>
        <w:t>-</w:t>
      </w:r>
      <w:r>
        <w:rPr>
          <w:lang w:val="de-DE"/>
        </w:rPr>
        <w:t>Technik.</w:t>
      </w:r>
      <w:r w:rsidRPr="002A6C4A">
        <w:rPr>
          <w:lang w:val="de-DE"/>
        </w:rPr>
        <w:t xml:space="preserve"> </w:t>
      </w:r>
    </w:p>
    <w:p w14:paraId="62B72C6F" w14:textId="77777777" w:rsidR="004B7026" w:rsidRPr="002A6C4A" w:rsidRDefault="004B7026" w:rsidP="004B7026">
      <w:pPr>
        <w:pStyle w:val="PIAbspann"/>
        <w:ind w:right="850"/>
        <w:rPr>
          <w:lang w:val="de-DE"/>
        </w:rPr>
      </w:pPr>
      <w:r w:rsidRPr="002A6C4A">
        <w:rPr>
          <w:lang w:val="de-DE"/>
        </w:rPr>
        <w:t>Das Unternehmen liefert standardisierte Produkte und komplette Lösungen an Systemintegratoren, Erstausstatter (OEMs) und Endkunden weltweit.</w:t>
      </w:r>
    </w:p>
    <w:p w14:paraId="3D59D73A" w14:textId="6ABE27E0" w:rsidR="008D1404" w:rsidRPr="002A6C4A" w:rsidRDefault="008D1404" w:rsidP="008D1404">
      <w:pPr>
        <w:pStyle w:val="PIAbspann"/>
        <w:jc w:val="left"/>
        <w:rPr>
          <w:lang w:val="de-DE"/>
        </w:rPr>
      </w:pPr>
      <w:r w:rsidRPr="002A6C4A">
        <w:rPr>
          <w:color w:val="000000"/>
          <w:lang w:val="de-DE"/>
        </w:rPr>
        <w:t>Hauptsitz: Symeo GmbH, Prof.-Messerschmitt-Straße 3</w:t>
      </w:r>
      <w:r w:rsidR="00841846">
        <w:rPr>
          <w:color w:val="000000"/>
          <w:lang w:val="de-DE"/>
        </w:rPr>
        <w:t xml:space="preserve"> a</w:t>
      </w:r>
      <w:r w:rsidRPr="002A6C4A">
        <w:rPr>
          <w:color w:val="000000"/>
          <w:lang w:val="de-DE"/>
        </w:rPr>
        <w:t xml:space="preserve">, 85579 </w:t>
      </w:r>
      <w:proofErr w:type="spellStart"/>
      <w:r w:rsidRPr="002A6C4A">
        <w:rPr>
          <w:color w:val="000000"/>
          <w:lang w:val="de-DE"/>
        </w:rPr>
        <w:t>Neubiberg</w:t>
      </w:r>
      <w:proofErr w:type="spellEnd"/>
      <w:r w:rsidRPr="002A6C4A">
        <w:rPr>
          <w:color w:val="000000"/>
          <w:lang w:val="de-DE"/>
        </w:rPr>
        <w:t>, Deutschland</w:t>
      </w:r>
      <w:r w:rsidRPr="002A6C4A">
        <w:rPr>
          <w:color w:val="000000"/>
          <w:lang w:val="de-DE"/>
        </w:rPr>
        <w:br/>
        <w:t>Telefon: +49 89 6607796-0, Fax: +49 89 6607796-190</w:t>
      </w:r>
      <w:r w:rsidRPr="002A6C4A">
        <w:rPr>
          <w:color w:val="000000"/>
          <w:lang w:val="de-DE"/>
        </w:rPr>
        <w:br/>
        <w:t>E</w:t>
      </w:r>
      <w:r w:rsidRPr="002A6C4A">
        <w:rPr>
          <w:lang w:val="de-DE"/>
        </w:rPr>
        <w:t xml:space="preserve">-Mail: </w:t>
      </w:r>
      <w:hyperlink r:id="rId10" w:history="1">
        <w:r w:rsidRPr="002A6C4A">
          <w:rPr>
            <w:rStyle w:val="Hyperlink"/>
            <w:rFonts w:cs="Arial"/>
            <w:lang w:val="de-DE"/>
          </w:rPr>
          <w:t>info@symeo.com</w:t>
        </w:r>
      </w:hyperlink>
      <w:r w:rsidRPr="002A6C4A">
        <w:rPr>
          <w:color w:val="000000"/>
          <w:lang w:val="de-DE"/>
        </w:rPr>
        <w:t xml:space="preserve">, </w:t>
      </w:r>
      <w:r w:rsidRPr="002A6C4A">
        <w:rPr>
          <w:lang w:val="de-DE"/>
        </w:rPr>
        <w:t xml:space="preserve">Homepage: </w:t>
      </w:r>
      <w:hyperlink r:id="rId11" w:history="1">
        <w:r w:rsidRPr="002A6C4A">
          <w:rPr>
            <w:rStyle w:val="Hyperlink"/>
            <w:rFonts w:cs="Arial"/>
            <w:lang w:val="de-DE"/>
          </w:rPr>
          <w:t>www.symeo.com</w:t>
        </w:r>
      </w:hyperlink>
      <w:r w:rsidRPr="002A6C4A">
        <w:rPr>
          <w:lang w:val="de-DE"/>
        </w:rPr>
        <w:t xml:space="preserve"> </w:t>
      </w:r>
    </w:p>
    <w:p w14:paraId="3AA2AFE0" w14:textId="77777777" w:rsidR="008D1404" w:rsidRPr="002A6C4A" w:rsidRDefault="008D1404" w:rsidP="008D1404">
      <w:pPr>
        <w:pStyle w:val="PIAbspann"/>
        <w:rPr>
          <w:color w:val="000000"/>
          <w:lang w:val="de-DE"/>
        </w:rPr>
      </w:pPr>
    </w:p>
    <w:p w14:paraId="0E41FC1F" w14:textId="77777777" w:rsidR="008D1404" w:rsidRPr="002A6C4A" w:rsidRDefault="008D1404" w:rsidP="008D1404">
      <w:pPr>
        <w:pStyle w:val="PIAbspann"/>
        <w:rPr>
          <w:b/>
          <w:bCs/>
          <w:lang w:val="de-DE"/>
        </w:rPr>
      </w:pPr>
      <w:r w:rsidRPr="002A6C4A">
        <w:rPr>
          <w:b/>
          <w:bCs/>
          <w:lang w:val="de-DE"/>
        </w:rPr>
        <w:t>Presse-Kontakt:</w:t>
      </w:r>
    </w:p>
    <w:p w14:paraId="1471D947" w14:textId="77777777" w:rsidR="008D1404" w:rsidRPr="002A6C4A" w:rsidRDefault="008D1404" w:rsidP="008D1404">
      <w:pPr>
        <w:pStyle w:val="PIAbspann"/>
        <w:jc w:val="left"/>
        <w:rPr>
          <w:lang w:val="de-DE"/>
        </w:rPr>
      </w:pPr>
      <w:proofErr w:type="spellStart"/>
      <w:r w:rsidRPr="002A6C4A">
        <w:rPr>
          <w:lang w:val="de-DE"/>
        </w:rPr>
        <w:t>HighTech</w:t>
      </w:r>
      <w:proofErr w:type="spellEnd"/>
      <w:r w:rsidRPr="002A6C4A">
        <w:rPr>
          <w:lang w:val="de-DE"/>
        </w:rPr>
        <w:t xml:space="preserve"> </w:t>
      </w:r>
      <w:proofErr w:type="spellStart"/>
      <w:r w:rsidRPr="002A6C4A">
        <w:rPr>
          <w:lang w:val="de-DE"/>
        </w:rPr>
        <w:t>communications</w:t>
      </w:r>
      <w:proofErr w:type="spellEnd"/>
      <w:r w:rsidRPr="002A6C4A">
        <w:rPr>
          <w:lang w:val="de-DE"/>
        </w:rPr>
        <w:t xml:space="preserve"> GmbH</w:t>
      </w:r>
      <w:r w:rsidRPr="002A6C4A">
        <w:rPr>
          <w:lang w:val="de-DE"/>
        </w:rPr>
        <w:br/>
      </w:r>
      <w:r w:rsidR="00A965BC" w:rsidRPr="00A965BC">
        <w:rPr>
          <w:lang w:val="de-DE"/>
        </w:rPr>
        <w:t>Marcus Planckh</w:t>
      </w:r>
      <w:r w:rsidRPr="002A6C4A">
        <w:rPr>
          <w:lang w:val="de-DE"/>
        </w:rPr>
        <w:br/>
      </w:r>
      <w:proofErr w:type="spellStart"/>
      <w:r w:rsidR="00A965BC" w:rsidRPr="00A965BC">
        <w:rPr>
          <w:lang w:val="de-DE"/>
        </w:rPr>
        <w:t>Brunhamstraße</w:t>
      </w:r>
      <w:proofErr w:type="spellEnd"/>
      <w:r w:rsidR="00A965BC" w:rsidRPr="00A965BC">
        <w:rPr>
          <w:lang w:val="de-DE"/>
        </w:rPr>
        <w:t xml:space="preserve"> 21 (Geb. 202 / 2. OG)</w:t>
      </w:r>
      <w:r w:rsidRPr="002A6C4A">
        <w:rPr>
          <w:lang w:val="de-DE"/>
        </w:rPr>
        <w:br/>
      </w:r>
      <w:r w:rsidR="00A965BC" w:rsidRPr="00A965BC">
        <w:rPr>
          <w:lang w:val="de-DE"/>
        </w:rPr>
        <w:t>81249</w:t>
      </w:r>
      <w:r w:rsidRPr="002A6C4A">
        <w:rPr>
          <w:lang w:val="de-DE"/>
        </w:rPr>
        <w:t xml:space="preserve"> München </w:t>
      </w:r>
      <w:r w:rsidRPr="002A6C4A">
        <w:rPr>
          <w:lang w:val="de-DE"/>
        </w:rPr>
        <w:br/>
        <w:t>Deutschland</w:t>
      </w:r>
    </w:p>
    <w:p w14:paraId="6EA92C1E" w14:textId="4F6D3B57" w:rsidR="008D1404" w:rsidRDefault="008D1404" w:rsidP="008D1404">
      <w:pPr>
        <w:pStyle w:val="PIAbspann"/>
        <w:ind w:right="992"/>
        <w:jc w:val="left"/>
        <w:rPr>
          <w:lang w:val="de-DE"/>
        </w:rPr>
      </w:pPr>
      <w:r w:rsidRPr="002A6C4A">
        <w:rPr>
          <w:lang w:val="de-DE"/>
        </w:rPr>
        <w:t>Tel.: +49 89 500778-</w:t>
      </w:r>
      <w:r w:rsidR="00A965BC">
        <w:rPr>
          <w:lang w:val="de-DE"/>
        </w:rPr>
        <w:t>22</w:t>
      </w:r>
      <w:r w:rsidRPr="002A6C4A">
        <w:rPr>
          <w:lang w:val="de-DE"/>
        </w:rPr>
        <w:br/>
        <w:t xml:space="preserve">E-Mail: </w:t>
      </w:r>
      <w:r w:rsidR="00A965BC">
        <w:rPr>
          <w:lang w:val="de-DE"/>
        </w:rPr>
        <w:t>m.planckh</w:t>
      </w:r>
      <w:r w:rsidRPr="002A6C4A">
        <w:rPr>
          <w:lang w:val="de-DE"/>
        </w:rPr>
        <w:t>@htcm.de</w:t>
      </w:r>
      <w:r w:rsidRPr="002A6C4A">
        <w:rPr>
          <w:lang w:val="de-DE"/>
        </w:rPr>
        <w:br/>
        <w:t xml:space="preserve">Homepage: </w:t>
      </w:r>
      <w:hyperlink r:id="rId12" w:history="1">
        <w:r w:rsidRPr="002A6C4A">
          <w:rPr>
            <w:lang w:val="de-DE"/>
          </w:rPr>
          <w:t>www.htcm.de</w:t>
        </w:r>
      </w:hyperlink>
      <w:r w:rsidRPr="002A6C4A">
        <w:rPr>
          <w:lang w:val="de-DE"/>
        </w:rPr>
        <w:t xml:space="preserve"> </w:t>
      </w:r>
    </w:p>
    <w:p w14:paraId="6B0E64FF" w14:textId="77777777" w:rsidR="00A918F0" w:rsidRDefault="00A918F0" w:rsidP="008D1404">
      <w:pPr>
        <w:spacing w:after="120" w:line="280" w:lineRule="exact"/>
        <w:jc w:val="both"/>
        <w:rPr>
          <w:b/>
          <w:bCs/>
          <w:noProof/>
          <w:sz w:val="18"/>
          <w:szCs w:val="18"/>
          <w:lang w:val="de-DE"/>
        </w:rPr>
      </w:pPr>
    </w:p>
    <w:sectPr w:rsidR="00A918F0" w:rsidSect="006B1250">
      <w:headerReference w:type="default" r:id="rId13"/>
      <w:footerReference w:type="default" r:id="rId14"/>
      <w:pgSz w:w="11907" w:h="16840" w:code="9"/>
      <w:pgMar w:top="2835" w:right="2410" w:bottom="1701" w:left="1701" w:header="1474" w:footer="709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8C61A" w14:textId="77777777" w:rsidR="00C3478E" w:rsidRDefault="00C3478E">
      <w:r>
        <w:separator/>
      </w:r>
    </w:p>
  </w:endnote>
  <w:endnote w:type="continuationSeparator" w:id="0">
    <w:p w14:paraId="35BCEBF3" w14:textId="77777777" w:rsidR="00C3478E" w:rsidRDefault="00C3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06BE4" w14:textId="3A176387" w:rsidR="00D106D7" w:rsidRPr="00A44F23" w:rsidRDefault="00D106D7">
    <w:pPr>
      <w:pStyle w:val="PIFusszeile"/>
      <w:rPr>
        <w:lang w:val="de-DE"/>
      </w:rPr>
    </w:pPr>
    <w:r w:rsidRPr="00A44F23">
      <w:rPr>
        <w:rStyle w:val="Seitenzahl"/>
        <w:rFonts w:cs="Arial"/>
        <w:lang w:val="de-DE"/>
      </w:rPr>
      <w:fldChar w:fldCharType="begin"/>
    </w:r>
    <w:r w:rsidRPr="00A44F23">
      <w:rPr>
        <w:rStyle w:val="Seitenzahl"/>
        <w:rFonts w:cs="Arial"/>
        <w:lang w:val="de-DE"/>
      </w:rPr>
      <w:instrText xml:space="preserve"> FILENAME  \* MERGEFORMAT </w:instrText>
    </w:r>
    <w:r w:rsidRPr="00A44F23">
      <w:rPr>
        <w:rStyle w:val="Seitenzahl"/>
        <w:rFonts w:cs="Arial"/>
        <w:lang w:val="de-DE"/>
      </w:rPr>
      <w:fldChar w:fldCharType="separate"/>
    </w:r>
    <w:r w:rsidR="00652A0C">
      <w:rPr>
        <w:rStyle w:val="Seitenzahl"/>
        <w:rFonts w:cs="Arial"/>
        <w:noProof/>
        <w:lang w:val="de-DE"/>
      </w:rPr>
      <w:t>SYM2PI108</w:t>
    </w:r>
    <w:r w:rsidRPr="00A44F23">
      <w:rPr>
        <w:rStyle w:val="Seitenzahl"/>
        <w:rFonts w:cs="Arial"/>
        <w:lang w:val="de-DE"/>
      </w:rPr>
      <w:fldChar w:fldCharType="end"/>
    </w:r>
    <w:r w:rsidR="009F784E">
      <w:rPr>
        <w:rStyle w:val="Seitenzahl"/>
        <w:rFonts w:cs="Arial"/>
        <w:lang w:val="de-DE"/>
      </w:rPr>
      <w:t>_de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9F17F" w14:textId="77777777" w:rsidR="00C3478E" w:rsidRDefault="00C3478E">
      <w:r>
        <w:separator/>
      </w:r>
    </w:p>
  </w:footnote>
  <w:footnote w:type="continuationSeparator" w:id="0">
    <w:p w14:paraId="750BF603" w14:textId="77777777" w:rsidR="00C3478E" w:rsidRDefault="00C3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B1BB1" w14:textId="58E32BD7" w:rsidR="00D106D7" w:rsidRPr="008B1AD9" w:rsidRDefault="00FC68C5" w:rsidP="008B1AD9">
    <w:pPr>
      <w:spacing w:before="480" w:line="260" w:lineRule="exact"/>
      <w:rPr>
        <w:lang w:val="de-D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23A6AF" wp14:editId="2B50E162">
          <wp:simplePos x="0" y="0"/>
          <wp:positionH relativeFrom="column">
            <wp:posOffset>1905</wp:posOffset>
          </wp:positionH>
          <wp:positionV relativeFrom="paragraph">
            <wp:posOffset>-43815</wp:posOffset>
          </wp:positionV>
          <wp:extent cx="1440180" cy="48006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berschrift1"/>
      <w:lvlText w:val="%1"/>
      <w:lvlJc w:val="left"/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05489"/>
    <w:multiLevelType w:val="hybridMultilevel"/>
    <w:tmpl w:val="9AA42660"/>
    <w:lvl w:ilvl="0" w:tplc="9C7A5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8743608">
    <w:abstractNumId w:val="0"/>
  </w:num>
  <w:num w:numId="2" w16cid:durableId="1417552245">
    <w:abstractNumId w:val="6"/>
  </w:num>
  <w:num w:numId="3" w16cid:durableId="834419380">
    <w:abstractNumId w:val="5"/>
  </w:num>
  <w:num w:numId="4" w16cid:durableId="1423449652">
    <w:abstractNumId w:val="2"/>
  </w:num>
  <w:num w:numId="5" w16cid:durableId="1945914684">
    <w:abstractNumId w:val="7"/>
  </w:num>
  <w:num w:numId="6" w16cid:durableId="1201357485">
    <w:abstractNumId w:val="1"/>
  </w:num>
  <w:num w:numId="7" w16cid:durableId="946473954">
    <w:abstractNumId w:val="4"/>
  </w:num>
  <w:num w:numId="8" w16cid:durableId="1438574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01C83"/>
    <w:rsid w:val="00006551"/>
    <w:rsid w:val="000114FD"/>
    <w:rsid w:val="00014302"/>
    <w:rsid w:val="000239B4"/>
    <w:rsid w:val="00023C1C"/>
    <w:rsid w:val="00030E1B"/>
    <w:rsid w:val="00033867"/>
    <w:rsid w:val="00034B44"/>
    <w:rsid w:val="000423C6"/>
    <w:rsid w:val="00050A88"/>
    <w:rsid w:val="00053031"/>
    <w:rsid w:val="00055F45"/>
    <w:rsid w:val="00062602"/>
    <w:rsid w:val="0006354E"/>
    <w:rsid w:val="00064375"/>
    <w:rsid w:val="00065CC8"/>
    <w:rsid w:val="00073221"/>
    <w:rsid w:val="00075AF9"/>
    <w:rsid w:val="00076775"/>
    <w:rsid w:val="000779EC"/>
    <w:rsid w:val="000814A7"/>
    <w:rsid w:val="0008310E"/>
    <w:rsid w:val="00086D92"/>
    <w:rsid w:val="00097BF0"/>
    <w:rsid w:val="00097DD6"/>
    <w:rsid w:val="000A27C8"/>
    <w:rsid w:val="000A2A79"/>
    <w:rsid w:val="000B1EC3"/>
    <w:rsid w:val="000B7A35"/>
    <w:rsid w:val="000C27E9"/>
    <w:rsid w:val="000E074E"/>
    <w:rsid w:val="000E0FDE"/>
    <w:rsid w:val="000E1251"/>
    <w:rsid w:val="000E495F"/>
    <w:rsid w:val="000E71FF"/>
    <w:rsid w:val="000F1F76"/>
    <w:rsid w:val="000F3107"/>
    <w:rsid w:val="00101F8A"/>
    <w:rsid w:val="00102036"/>
    <w:rsid w:val="001023C1"/>
    <w:rsid w:val="00105294"/>
    <w:rsid w:val="001079AD"/>
    <w:rsid w:val="001104E5"/>
    <w:rsid w:val="001245ED"/>
    <w:rsid w:val="00134C61"/>
    <w:rsid w:val="00135E95"/>
    <w:rsid w:val="001360AC"/>
    <w:rsid w:val="0013757C"/>
    <w:rsid w:val="0014238C"/>
    <w:rsid w:val="00146A57"/>
    <w:rsid w:val="00146B8A"/>
    <w:rsid w:val="0015506D"/>
    <w:rsid w:val="0016348F"/>
    <w:rsid w:val="001647BA"/>
    <w:rsid w:val="001652A9"/>
    <w:rsid w:val="001653B3"/>
    <w:rsid w:val="00170337"/>
    <w:rsid w:val="00176361"/>
    <w:rsid w:val="001778FF"/>
    <w:rsid w:val="00177901"/>
    <w:rsid w:val="00187FFB"/>
    <w:rsid w:val="00190ECD"/>
    <w:rsid w:val="0019280C"/>
    <w:rsid w:val="001A0FAB"/>
    <w:rsid w:val="001A2391"/>
    <w:rsid w:val="001A3021"/>
    <w:rsid w:val="001A334A"/>
    <w:rsid w:val="001A4874"/>
    <w:rsid w:val="001C1279"/>
    <w:rsid w:val="001C218A"/>
    <w:rsid w:val="001C33ED"/>
    <w:rsid w:val="001C7559"/>
    <w:rsid w:val="001D0CEE"/>
    <w:rsid w:val="001D2A67"/>
    <w:rsid w:val="001D3608"/>
    <w:rsid w:val="001E207A"/>
    <w:rsid w:val="001E3059"/>
    <w:rsid w:val="0020053D"/>
    <w:rsid w:val="0020383E"/>
    <w:rsid w:val="0021248A"/>
    <w:rsid w:val="00213C5D"/>
    <w:rsid w:val="002143C2"/>
    <w:rsid w:val="00224123"/>
    <w:rsid w:val="00232EA5"/>
    <w:rsid w:val="0025702A"/>
    <w:rsid w:val="00262B2A"/>
    <w:rsid w:val="00270C70"/>
    <w:rsid w:val="002726A7"/>
    <w:rsid w:val="00277DF5"/>
    <w:rsid w:val="002806E1"/>
    <w:rsid w:val="00284E3F"/>
    <w:rsid w:val="002869E5"/>
    <w:rsid w:val="002878A9"/>
    <w:rsid w:val="002902D7"/>
    <w:rsid w:val="00291857"/>
    <w:rsid w:val="00293E02"/>
    <w:rsid w:val="00295A3F"/>
    <w:rsid w:val="00295D4F"/>
    <w:rsid w:val="00296666"/>
    <w:rsid w:val="00297F1D"/>
    <w:rsid w:val="002A232F"/>
    <w:rsid w:val="002A25FB"/>
    <w:rsid w:val="002A3F13"/>
    <w:rsid w:val="002A47BC"/>
    <w:rsid w:val="002A7076"/>
    <w:rsid w:val="002A7828"/>
    <w:rsid w:val="002B1466"/>
    <w:rsid w:val="002B1C06"/>
    <w:rsid w:val="002B5DE4"/>
    <w:rsid w:val="002C16A6"/>
    <w:rsid w:val="002C48AB"/>
    <w:rsid w:val="002C4FCF"/>
    <w:rsid w:val="002C55EE"/>
    <w:rsid w:val="002C580B"/>
    <w:rsid w:val="002D1EEC"/>
    <w:rsid w:val="002E4638"/>
    <w:rsid w:val="002E4EB9"/>
    <w:rsid w:val="002F1A3A"/>
    <w:rsid w:val="002F34FF"/>
    <w:rsid w:val="002F6892"/>
    <w:rsid w:val="00305CBF"/>
    <w:rsid w:val="003076E7"/>
    <w:rsid w:val="003131D8"/>
    <w:rsid w:val="00316E03"/>
    <w:rsid w:val="00324A13"/>
    <w:rsid w:val="00335AD0"/>
    <w:rsid w:val="00335B21"/>
    <w:rsid w:val="003414BD"/>
    <w:rsid w:val="0035006D"/>
    <w:rsid w:val="00352CBF"/>
    <w:rsid w:val="00354D5C"/>
    <w:rsid w:val="00355F2E"/>
    <w:rsid w:val="003606A5"/>
    <w:rsid w:val="00363266"/>
    <w:rsid w:val="0036682E"/>
    <w:rsid w:val="0037450E"/>
    <w:rsid w:val="00375B72"/>
    <w:rsid w:val="0038039F"/>
    <w:rsid w:val="0038359C"/>
    <w:rsid w:val="003846E2"/>
    <w:rsid w:val="00385131"/>
    <w:rsid w:val="00387B83"/>
    <w:rsid w:val="00390AF1"/>
    <w:rsid w:val="00393193"/>
    <w:rsid w:val="0039435C"/>
    <w:rsid w:val="00396DF8"/>
    <w:rsid w:val="003A2938"/>
    <w:rsid w:val="003B0B49"/>
    <w:rsid w:val="003B2B2D"/>
    <w:rsid w:val="003B2CAE"/>
    <w:rsid w:val="003B4B61"/>
    <w:rsid w:val="003B5D46"/>
    <w:rsid w:val="003B74DB"/>
    <w:rsid w:val="003C3178"/>
    <w:rsid w:val="003C7F28"/>
    <w:rsid w:val="003D1CC8"/>
    <w:rsid w:val="003D4185"/>
    <w:rsid w:val="003D4F8A"/>
    <w:rsid w:val="003D74DE"/>
    <w:rsid w:val="003E034D"/>
    <w:rsid w:val="003E2A4C"/>
    <w:rsid w:val="003E3DE8"/>
    <w:rsid w:val="003E4A1D"/>
    <w:rsid w:val="003F1AA3"/>
    <w:rsid w:val="003F47FD"/>
    <w:rsid w:val="00401723"/>
    <w:rsid w:val="00401A27"/>
    <w:rsid w:val="004115AE"/>
    <w:rsid w:val="004130AE"/>
    <w:rsid w:val="00413B8D"/>
    <w:rsid w:val="00427F94"/>
    <w:rsid w:val="0043695F"/>
    <w:rsid w:val="00436B95"/>
    <w:rsid w:val="004401AD"/>
    <w:rsid w:val="0044023A"/>
    <w:rsid w:val="00454442"/>
    <w:rsid w:val="00454A77"/>
    <w:rsid w:val="00470419"/>
    <w:rsid w:val="0047128C"/>
    <w:rsid w:val="00471A2C"/>
    <w:rsid w:val="004752AF"/>
    <w:rsid w:val="0047713D"/>
    <w:rsid w:val="00480938"/>
    <w:rsid w:val="00483DCB"/>
    <w:rsid w:val="00493CC3"/>
    <w:rsid w:val="00497A50"/>
    <w:rsid w:val="004A31CD"/>
    <w:rsid w:val="004B2380"/>
    <w:rsid w:val="004B5E90"/>
    <w:rsid w:val="004B7026"/>
    <w:rsid w:val="004C04F4"/>
    <w:rsid w:val="004C37CC"/>
    <w:rsid w:val="004C7801"/>
    <w:rsid w:val="004D09BE"/>
    <w:rsid w:val="004D4A73"/>
    <w:rsid w:val="004D5C74"/>
    <w:rsid w:val="004E3010"/>
    <w:rsid w:val="004E6605"/>
    <w:rsid w:val="004E6FA3"/>
    <w:rsid w:val="004F57DC"/>
    <w:rsid w:val="004F58F1"/>
    <w:rsid w:val="00501CBA"/>
    <w:rsid w:val="0050400D"/>
    <w:rsid w:val="005055EB"/>
    <w:rsid w:val="00505F1D"/>
    <w:rsid w:val="00524E59"/>
    <w:rsid w:val="00525FBF"/>
    <w:rsid w:val="00526994"/>
    <w:rsid w:val="00532146"/>
    <w:rsid w:val="00535BB4"/>
    <w:rsid w:val="0053612C"/>
    <w:rsid w:val="005441EF"/>
    <w:rsid w:val="0054586D"/>
    <w:rsid w:val="005460F3"/>
    <w:rsid w:val="0055238B"/>
    <w:rsid w:val="0055339D"/>
    <w:rsid w:val="00553E29"/>
    <w:rsid w:val="00555616"/>
    <w:rsid w:val="005676F0"/>
    <w:rsid w:val="0057555F"/>
    <w:rsid w:val="005763D0"/>
    <w:rsid w:val="00581CD4"/>
    <w:rsid w:val="00586B40"/>
    <w:rsid w:val="005916D8"/>
    <w:rsid w:val="00592100"/>
    <w:rsid w:val="00597596"/>
    <w:rsid w:val="005A154B"/>
    <w:rsid w:val="005A33E5"/>
    <w:rsid w:val="005A634F"/>
    <w:rsid w:val="005B2B5B"/>
    <w:rsid w:val="005B4A01"/>
    <w:rsid w:val="005B51A0"/>
    <w:rsid w:val="005B6511"/>
    <w:rsid w:val="005C1D2A"/>
    <w:rsid w:val="005C337F"/>
    <w:rsid w:val="005C644F"/>
    <w:rsid w:val="005E39B1"/>
    <w:rsid w:val="005F375C"/>
    <w:rsid w:val="005F517C"/>
    <w:rsid w:val="005F6E46"/>
    <w:rsid w:val="005F7A16"/>
    <w:rsid w:val="006018C4"/>
    <w:rsid w:val="00603D8B"/>
    <w:rsid w:val="00606E02"/>
    <w:rsid w:val="00607D99"/>
    <w:rsid w:val="00610647"/>
    <w:rsid w:val="00610C83"/>
    <w:rsid w:val="006153D7"/>
    <w:rsid w:val="00622E65"/>
    <w:rsid w:val="006240E2"/>
    <w:rsid w:val="00626E09"/>
    <w:rsid w:val="00627660"/>
    <w:rsid w:val="006329C7"/>
    <w:rsid w:val="00636D8B"/>
    <w:rsid w:val="00642C9C"/>
    <w:rsid w:val="006431A4"/>
    <w:rsid w:val="00651A4B"/>
    <w:rsid w:val="00652A0C"/>
    <w:rsid w:val="006541BB"/>
    <w:rsid w:val="00661C8A"/>
    <w:rsid w:val="00662C5A"/>
    <w:rsid w:val="00664984"/>
    <w:rsid w:val="00675B39"/>
    <w:rsid w:val="006839B1"/>
    <w:rsid w:val="00691713"/>
    <w:rsid w:val="00691AEE"/>
    <w:rsid w:val="006933F2"/>
    <w:rsid w:val="00694205"/>
    <w:rsid w:val="006944CB"/>
    <w:rsid w:val="00695FAC"/>
    <w:rsid w:val="006A38E1"/>
    <w:rsid w:val="006A400D"/>
    <w:rsid w:val="006B1250"/>
    <w:rsid w:val="006B506F"/>
    <w:rsid w:val="006B6A50"/>
    <w:rsid w:val="006C428F"/>
    <w:rsid w:val="006C4B1A"/>
    <w:rsid w:val="006C5008"/>
    <w:rsid w:val="006C6CFF"/>
    <w:rsid w:val="006D039B"/>
    <w:rsid w:val="006D1322"/>
    <w:rsid w:val="006D6D1C"/>
    <w:rsid w:val="006F6FCE"/>
    <w:rsid w:val="00707839"/>
    <w:rsid w:val="00710457"/>
    <w:rsid w:val="00711753"/>
    <w:rsid w:val="007120DD"/>
    <w:rsid w:val="00732EBA"/>
    <w:rsid w:val="007341A8"/>
    <w:rsid w:val="00742837"/>
    <w:rsid w:val="00753F86"/>
    <w:rsid w:val="0076302A"/>
    <w:rsid w:val="00764FF9"/>
    <w:rsid w:val="0076514B"/>
    <w:rsid w:val="00765455"/>
    <w:rsid w:val="0076643E"/>
    <w:rsid w:val="007676AA"/>
    <w:rsid w:val="00767A2D"/>
    <w:rsid w:val="00767B29"/>
    <w:rsid w:val="00775CB0"/>
    <w:rsid w:val="007805C9"/>
    <w:rsid w:val="007846AC"/>
    <w:rsid w:val="0078519E"/>
    <w:rsid w:val="00787697"/>
    <w:rsid w:val="00790838"/>
    <w:rsid w:val="00791DC8"/>
    <w:rsid w:val="00794556"/>
    <w:rsid w:val="007A266E"/>
    <w:rsid w:val="007A3B06"/>
    <w:rsid w:val="007A49E8"/>
    <w:rsid w:val="007B5FE4"/>
    <w:rsid w:val="007E4981"/>
    <w:rsid w:val="007E5D80"/>
    <w:rsid w:val="007E67D1"/>
    <w:rsid w:val="007F0F44"/>
    <w:rsid w:val="007F33B4"/>
    <w:rsid w:val="007F6881"/>
    <w:rsid w:val="00802034"/>
    <w:rsid w:val="00802100"/>
    <w:rsid w:val="00802618"/>
    <w:rsid w:val="00803538"/>
    <w:rsid w:val="00807911"/>
    <w:rsid w:val="0081477D"/>
    <w:rsid w:val="00815FBB"/>
    <w:rsid w:val="00820822"/>
    <w:rsid w:val="00822B47"/>
    <w:rsid w:val="00841846"/>
    <w:rsid w:val="00842115"/>
    <w:rsid w:val="00842917"/>
    <w:rsid w:val="00843CE8"/>
    <w:rsid w:val="00845BF3"/>
    <w:rsid w:val="00851E2E"/>
    <w:rsid w:val="008521A8"/>
    <w:rsid w:val="00852EB7"/>
    <w:rsid w:val="00856705"/>
    <w:rsid w:val="008623AA"/>
    <w:rsid w:val="008654AE"/>
    <w:rsid w:val="00866BF9"/>
    <w:rsid w:val="0087229B"/>
    <w:rsid w:val="008743F3"/>
    <w:rsid w:val="008765C6"/>
    <w:rsid w:val="00876AAA"/>
    <w:rsid w:val="008833C9"/>
    <w:rsid w:val="00883874"/>
    <w:rsid w:val="00886352"/>
    <w:rsid w:val="008B1AD9"/>
    <w:rsid w:val="008B4F51"/>
    <w:rsid w:val="008B52FC"/>
    <w:rsid w:val="008B6421"/>
    <w:rsid w:val="008C7254"/>
    <w:rsid w:val="008D048A"/>
    <w:rsid w:val="008D1404"/>
    <w:rsid w:val="008D429B"/>
    <w:rsid w:val="008D7AE5"/>
    <w:rsid w:val="008E2A31"/>
    <w:rsid w:val="008E7D73"/>
    <w:rsid w:val="008F025F"/>
    <w:rsid w:val="008F4EC1"/>
    <w:rsid w:val="008F524D"/>
    <w:rsid w:val="008F5B8B"/>
    <w:rsid w:val="0090040E"/>
    <w:rsid w:val="009019BA"/>
    <w:rsid w:val="009116A3"/>
    <w:rsid w:val="00920E80"/>
    <w:rsid w:val="00921331"/>
    <w:rsid w:val="0092154E"/>
    <w:rsid w:val="00921A84"/>
    <w:rsid w:val="00923995"/>
    <w:rsid w:val="009262B5"/>
    <w:rsid w:val="00932CBB"/>
    <w:rsid w:val="009374CB"/>
    <w:rsid w:val="00937F34"/>
    <w:rsid w:val="00945573"/>
    <w:rsid w:val="009459AC"/>
    <w:rsid w:val="0095146F"/>
    <w:rsid w:val="0095788E"/>
    <w:rsid w:val="00964DBA"/>
    <w:rsid w:val="00971E48"/>
    <w:rsid w:val="009846F8"/>
    <w:rsid w:val="009952D7"/>
    <w:rsid w:val="00995783"/>
    <w:rsid w:val="009A0D98"/>
    <w:rsid w:val="009A0F18"/>
    <w:rsid w:val="009A410F"/>
    <w:rsid w:val="009A6F3B"/>
    <w:rsid w:val="009B231C"/>
    <w:rsid w:val="009B548A"/>
    <w:rsid w:val="009B7244"/>
    <w:rsid w:val="009B7C08"/>
    <w:rsid w:val="009C4CE4"/>
    <w:rsid w:val="009D1F42"/>
    <w:rsid w:val="009D2FC6"/>
    <w:rsid w:val="009D7B8E"/>
    <w:rsid w:val="009D7F8A"/>
    <w:rsid w:val="009E366C"/>
    <w:rsid w:val="009E4E4C"/>
    <w:rsid w:val="009E56AC"/>
    <w:rsid w:val="009E5BCA"/>
    <w:rsid w:val="009F0375"/>
    <w:rsid w:val="009F0DAF"/>
    <w:rsid w:val="009F1EBD"/>
    <w:rsid w:val="009F360F"/>
    <w:rsid w:val="009F784E"/>
    <w:rsid w:val="00A14CB1"/>
    <w:rsid w:val="00A156A8"/>
    <w:rsid w:val="00A173B6"/>
    <w:rsid w:val="00A17C28"/>
    <w:rsid w:val="00A21EEA"/>
    <w:rsid w:val="00A26357"/>
    <w:rsid w:val="00A32360"/>
    <w:rsid w:val="00A37564"/>
    <w:rsid w:val="00A4476C"/>
    <w:rsid w:val="00A44F23"/>
    <w:rsid w:val="00A464C6"/>
    <w:rsid w:val="00A475CE"/>
    <w:rsid w:val="00A50F13"/>
    <w:rsid w:val="00A523DB"/>
    <w:rsid w:val="00A536C6"/>
    <w:rsid w:val="00A53B53"/>
    <w:rsid w:val="00A5778F"/>
    <w:rsid w:val="00A6180D"/>
    <w:rsid w:val="00A63E93"/>
    <w:rsid w:val="00A6479A"/>
    <w:rsid w:val="00A650D6"/>
    <w:rsid w:val="00A653DC"/>
    <w:rsid w:val="00A7457F"/>
    <w:rsid w:val="00A7749E"/>
    <w:rsid w:val="00A77C81"/>
    <w:rsid w:val="00A8019C"/>
    <w:rsid w:val="00A81295"/>
    <w:rsid w:val="00A83CD2"/>
    <w:rsid w:val="00A8561D"/>
    <w:rsid w:val="00A918F0"/>
    <w:rsid w:val="00A9439C"/>
    <w:rsid w:val="00A965BC"/>
    <w:rsid w:val="00A973F2"/>
    <w:rsid w:val="00AA1A35"/>
    <w:rsid w:val="00AB1B5B"/>
    <w:rsid w:val="00AB2C07"/>
    <w:rsid w:val="00AB4557"/>
    <w:rsid w:val="00AB52B7"/>
    <w:rsid w:val="00AC1A2B"/>
    <w:rsid w:val="00AD18D7"/>
    <w:rsid w:val="00AD1AA1"/>
    <w:rsid w:val="00AD2EAC"/>
    <w:rsid w:val="00AD3CAD"/>
    <w:rsid w:val="00AD6A15"/>
    <w:rsid w:val="00AE5CD1"/>
    <w:rsid w:val="00AF3B70"/>
    <w:rsid w:val="00AF676C"/>
    <w:rsid w:val="00B0059D"/>
    <w:rsid w:val="00B0346D"/>
    <w:rsid w:val="00B15CE2"/>
    <w:rsid w:val="00B16E72"/>
    <w:rsid w:val="00B24DEB"/>
    <w:rsid w:val="00B304AE"/>
    <w:rsid w:val="00B3185F"/>
    <w:rsid w:val="00B34254"/>
    <w:rsid w:val="00B34832"/>
    <w:rsid w:val="00B4581E"/>
    <w:rsid w:val="00B47808"/>
    <w:rsid w:val="00B608A4"/>
    <w:rsid w:val="00B63853"/>
    <w:rsid w:val="00B7008E"/>
    <w:rsid w:val="00B72D6F"/>
    <w:rsid w:val="00B75201"/>
    <w:rsid w:val="00B77712"/>
    <w:rsid w:val="00B84D23"/>
    <w:rsid w:val="00B86005"/>
    <w:rsid w:val="00B91D9C"/>
    <w:rsid w:val="00B938B7"/>
    <w:rsid w:val="00B9764C"/>
    <w:rsid w:val="00BB1E5C"/>
    <w:rsid w:val="00BB6081"/>
    <w:rsid w:val="00BC3C42"/>
    <w:rsid w:val="00BC496C"/>
    <w:rsid w:val="00BC59F4"/>
    <w:rsid w:val="00BC68D0"/>
    <w:rsid w:val="00BD0AF7"/>
    <w:rsid w:val="00BD287D"/>
    <w:rsid w:val="00BE04AF"/>
    <w:rsid w:val="00BE1594"/>
    <w:rsid w:val="00BE2401"/>
    <w:rsid w:val="00BE5183"/>
    <w:rsid w:val="00BE6DBD"/>
    <w:rsid w:val="00BF1AA8"/>
    <w:rsid w:val="00BF3C3F"/>
    <w:rsid w:val="00BF5A43"/>
    <w:rsid w:val="00C000C8"/>
    <w:rsid w:val="00C12EFD"/>
    <w:rsid w:val="00C1498B"/>
    <w:rsid w:val="00C20BFE"/>
    <w:rsid w:val="00C2594E"/>
    <w:rsid w:val="00C3001F"/>
    <w:rsid w:val="00C3478E"/>
    <w:rsid w:val="00C36EC0"/>
    <w:rsid w:val="00C44ED7"/>
    <w:rsid w:val="00C46388"/>
    <w:rsid w:val="00C46A86"/>
    <w:rsid w:val="00C4721D"/>
    <w:rsid w:val="00C54DDB"/>
    <w:rsid w:val="00C61DC5"/>
    <w:rsid w:val="00C62D8B"/>
    <w:rsid w:val="00C72BBE"/>
    <w:rsid w:val="00C75998"/>
    <w:rsid w:val="00C77003"/>
    <w:rsid w:val="00C83AAC"/>
    <w:rsid w:val="00C87AB9"/>
    <w:rsid w:val="00C968C1"/>
    <w:rsid w:val="00CA27B4"/>
    <w:rsid w:val="00CA6116"/>
    <w:rsid w:val="00CA7A59"/>
    <w:rsid w:val="00CB0631"/>
    <w:rsid w:val="00CB06C4"/>
    <w:rsid w:val="00CB6BA2"/>
    <w:rsid w:val="00CC0E28"/>
    <w:rsid w:val="00CC7179"/>
    <w:rsid w:val="00CD41C9"/>
    <w:rsid w:val="00CD5C0E"/>
    <w:rsid w:val="00CE0C87"/>
    <w:rsid w:val="00CF20EA"/>
    <w:rsid w:val="00CF3026"/>
    <w:rsid w:val="00CF532D"/>
    <w:rsid w:val="00CF7556"/>
    <w:rsid w:val="00D0455F"/>
    <w:rsid w:val="00D055AA"/>
    <w:rsid w:val="00D06E87"/>
    <w:rsid w:val="00D106D7"/>
    <w:rsid w:val="00D1290C"/>
    <w:rsid w:val="00D13B89"/>
    <w:rsid w:val="00D20F84"/>
    <w:rsid w:val="00D2112F"/>
    <w:rsid w:val="00D2116C"/>
    <w:rsid w:val="00D216F0"/>
    <w:rsid w:val="00D23DB1"/>
    <w:rsid w:val="00D304D3"/>
    <w:rsid w:val="00D34815"/>
    <w:rsid w:val="00D36B19"/>
    <w:rsid w:val="00D37B9B"/>
    <w:rsid w:val="00D424D0"/>
    <w:rsid w:val="00D5599C"/>
    <w:rsid w:val="00D56BB3"/>
    <w:rsid w:val="00D66E02"/>
    <w:rsid w:val="00D721EE"/>
    <w:rsid w:val="00D80A10"/>
    <w:rsid w:val="00D80AA6"/>
    <w:rsid w:val="00D81961"/>
    <w:rsid w:val="00D87C22"/>
    <w:rsid w:val="00D91CA1"/>
    <w:rsid w:val="00D979DE"/>
    <w:rsid w:val="00DA1E50"/>
    <w:rsid w:val="00DA3409"/>
    <w:rsid w:val="00DA4C0B"/>
    <w:rsid w:val="00DA799D"/>
    <w:rsid w:val="00DB0443"/>
    <w:rsid w:val="00DB1A61"/>
    <w:rsid w:val="00DB2F17"/>
    <w:rsid w:val="00DB3D14"/>
    <w:rsid w:val="00DB5161"/>
    <w:rsid w:val="00DB5B0C"/>
    <w:rsid w:val="00DB5CC4"/>
    <w:rsid w:val="00DB765D"/>
    <w:rsid w:val="00DB7C8B"/>
    <w:rsid w:val="00DC04E6"/>
    <w:rsid w:val="00DC0883"/>
    <w:rsid w:val="00DC166A"/>
    <w:rsid w:val="00DC5342"/>
    <w:rsid w:val="00DC6D0D"/>
    <w:rsid w:val="00DD1A6D"/>
    <w:rsid w:val="00DF2DF0"/>
    <w:rsid w:val="00DF3853"/>
    <w:rsid w:val="00DF3947"/>
    <w:rsid w:val="00DF46F8"/>
    <w:rsid w:val="00DF7AA8"/>
    <w:rsid w:val="00E01E49"/>
    <w:rsid w:val="00E02DED"/>
    <w:rsid w:val="00E035FA"/>
    <w:rsid w:val="00E1018E"/>
    <w:rsid w:val="00E10C8F"/>
    <w:rsid w:val="00E12559"/>
    <w:rsid w:val="00E12F6C"/>
    <w:rsid w:val="00E13E26"/>
    <w:rsid w:val="00E14A68"/>
    <w:rsid w:val="00E17A25"/>
    <w:rsid w:val="00E2647D"/>
    <w:rsid w:val="00E310F6"/>
    <w:rsid w:val="00E3118C"/>
    <w:rsid w:val="00E32BF9"/>
    <w:rsid w:val="00E370F1"/>
    <w:rsid w:val="00E46344"/>
    <w:rsid w:val="00E61A49"/>
    <w:rsid w:val="00E6407A"/>
    <w:rsid w:val="00E6591D"/>
    <w:rsid w:val="00E66152"/>
    <w:rsid w:val="00E66A6A"/>
    <w:rsid w:val="00E702AA"/>
    <w:rsid w:val="00E715FC"/>
    <w:rsid w:val="00E740D8"/>
    <w:rsid w:val="00E80438"/>
    <w:rsid w:val="00E80745"/>
    <w:rsid w:val="00E80A65"/>
    <w:rsid w:val="00E81659"/>
    <w:rsid w:val="00E865D5"/>
    <w:rsid w:val="00E8706A"/>
    <w:rsid w:val="00E9058F"/>
    <w:rsid w:val="00EA0FF6"/>
    <w:rsid w:val="00EA3827"/>
    <w:rsid w:val="00EA6023"/>
    <w:rsid w:val="00EB6E0A"/>
    <w:rsid w:val="00EC097B"/>
    <w:rsid w:val="00EC5DEC"/>
    <w:rsid w:val="00ED1A31"/>
    <w:rsid w:val="00ED7142"/>
    <w:rsid w:val="00ED7427"/>
    <w:rsid w:val="00EE0B9B"/>
    <w:rsid w:val="00EE1BE1"/>
    <w:rsid w:val="00EE1D51"/>
    <w:rsid w:val="00EE2E32"/>
    <w:rsid w:val="00EF0B82"/>
    <w:rsid w:val="00EF33C3"/>
    <w:rsid w:val="00F02135"/>
    <w:rsid w:val="00F03DBA"/>
    <w:rsid w:val="00F07CE8"/>
    <w:rsid w:val="00F10AEF"/>
    <w:rsid w:val="00F1182B"/>
    <w:rsid w:val="00F3167E"/>
    <w:rsid w:val="00F3499D"/>
    <w:rsid w:val="00F35C7C"/>
    <w:rsid w:val="00F37788"/>
    <w:rsid w:val="00F41FBD"/>
    <w:rsid w:val="00F436A6"/>
    <w:rsid w:val="00F529D6"/>
    <w:rsid w:val="00F60B73"/>
    <w:rsid w:val="00F61D74"/>
    <w:rsid w:val="00F626F2"/>
    <w:rsid w:val="00F62DA4"/>
    <w:rsid w:val="00F67F81"/>
    <w:rsid w:val="00F71BA9"/>
    <w:rsid w:val="00F71D94"/>
    <w:rsid w:val="00F73933"/>
    <w:rsid w:val="00F73E9C"/>
    <w:rsid w:val="00F75415"/>
    <w:rsid w:val="00F80E5D"/>
    <w:rsid w:val="00F87687"/>
    <w:rsid w:val="00F8784E"/>
    <w:rsid w:val="00F91DE4"/>
    <w:rsid w:val="00F92613"/>
    <w:rsid w:val="00F93CB2"/>
    <w:rsid w:val="00F9669F"/>
    <w:rsid w:val="00F97D79"/>
    <w:rsid w:val="00FA3121"/>
    <w:rsid w:val="00FA63A8"/>
    <w:rsid w:val="00FA6D6F"/>
    <w:rsid w:val="00FA7BE2"/>
    <w:rsid w:val="00FB2A71"/>
    <w:rsid w:val="00FB3112"/>
    <w:rsid w:val="00FB488D"/>
    <w:rsid w:val="00FC0320"/>
    <w:rsid w:val="00FC0FEE"/>
    <w:rsid w:val="00FC2512"/>
    <w:rsid w:val="00FC3CDB"/>
    <w:rsid w:val="00FC3F7B"/>
    <w:rsid w:val="00FC68C5"/>
    <w:rsid w:val="00FC6CBE"/>
    <w:rsid w:val="00FC7A75"/>
    <w:rsid w:val="00FD0755"/>
    <w:rsid w:val="00FD26DB"/>
    <w:rsid w:val="00FD6E0D"/>
    <w:rsid w:val="00FF04A5"/>
    <w:rsid w:val="00FF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799DB"/>
  <w15:chartTrackingRefBased/>
  <w15:docId w15:val="{55C0DA28-B1CE-4117-BBAF-634C084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rPr>
      <w:rFonts w:cs="Times New Roman"/>
    </w:rPr>
  </w:style>
  <w:style w:type="paragraph" w:customStyle="1" w:styleId="PITextkrper">
    <w:name w:val="PI_Textkörper"/>
    <w:basedOn w:val="Standard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autoRedefine/>
    <w:rsid w:val="000114FD"/>
    <w:pPr>
      <w:spacing w:after="240" w:line="480" w:lineRule="exact"/>
    </w:pPr>
    <w:rPr>
      <w:b/>
      <w:sz w:val="40"/>
      <w:szCs w:val="40"/>
      <w:lang w:val="de-DE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Standard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Textkrper">
    <w:name w:val="Body Text"/>
    <w:basedOn w:val="Standard"/>
    <w:pPr>
      <w:spacing w:after="120" w:line="280" w:lineRule="exact"/>
      <w:jc w:val="center"/>
    </w:p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Textkrper3">
    <w:name w:val="Body Text 3"/>
    <w:basedOn w:val="Standard"/>
    <w:pPr>
      <w:overflowPunct/>
      <w:autoSpaceDE/>
      <w:autoSpaceDN/>
      <w:adjustRightInd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StandardWeb">
    <w:name w:val="Normal (Web)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character" w:styleId="Fett">
    <w:name w:val="Strong"/>
    <w:qFormat/>
    <w:rsid w:val="00DB5B0C"/>
    <w:rPr>
      <w:rFonts w:cs="Times New Roman"/>
      <w:b/>
      <w:bCs/>
    </w:rPr>
  </w:style>
  <w:style w:type="paragraph" w:customStyle="1" w:styleId="bodystyle">
    <w:name w:val="bodystyle"/>
    <w:basedOn w:val="Standard"/>
    <w:rsid w:val="0071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Dokumentstruktur">
    <w:name w:val="Document Map"/>
    <w:basedOn w:val="Standard"/>
    <w:semiHidden/>
    <w:rsid w:val="00501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086D9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5146F"/>
    <w:rPr>
      <w:rFonts w:ascii="Arial" w:hAnsi="Arial" w:cs="Arial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k.htcm.de/press-releases/symeo/" TargetMode="External"/><Relationship Id="rId12" Type="http://schemas.openxmlformats.org/officeDocument/2006/relationships/hyperlink" Target="http://www.htcm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yme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ymeo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Symeo GmbH</vt:lpstr>
    </vt:vector>
  </TitlesOfParts>
  <Company>HighTech communications GmbH</Company>
  <LinksUpToDate>false</LinksUpToDate>
  <CharactersWithSpaces>3126</CharactersWithSpaces>
  <SharedDoc>false</SharedDoc>
  <HLinks>
    <vt:vector size="24" baseType="variant"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http://www.symeo.com/</vt:lpwstr>
      </vt:variant>
      <vt:variant>
        <vt:lpwstr/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mailto:info@symeo.com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https://kk.htcm.de/press-releases/symeo/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Symeo GmbH</dc:title>
  <dc:subject/>
  <dc:creator>Tobias Steininger</dc:creator>
  <cp:keywords/>
  <cp:lastModifiedBy>Marcus Planckh</cp:lastModifiedBy>
  <cp:revision>2</cp:revision>
  <cp:lastPrinted>2010-03-29T13:53:00Z</cp:lastPrinted>
  <dcterms:created xsi:type="dcterms:W3CDTF">2025-04-02T08:46:00Z</dcterms:created>
  <dcterms:modified xsi:type="dcterms:W3CDTF">2025-04-02T08:46:00Z</dcterms:modified>
</cp:coreProperties>
</file>