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A61E5" w14:textId="77777777" w:rsidR="00ED7ACC" w:rsidRDefault="00CE2A46">
      <w:pPr>
        <w:pStyle w:val="berschrift1"/>
        <w:spacing w:before="720" w:after="720" w:line="260" w:lineRule="exact"/>
        <w:rPr>
          <w:sz w:val="20"/>
        </w:rPr>
      </w:pPr>
      <w:r>
        <w:rPr>
          <w:sz w:val="20"/>
        </w:rPr>
        <w:t>COMMUNIQUÉ DE PRESSE</w:t>
      </w:r>
    </w:p>
    <w:p w14:paraId="23FA8242" w14:textId="3454D387" w:rsidR="00ED7ACC" w:rsidRDefault="00CE2A46">
      <w:pPr>
        <w:pStyle w:val="Kopfzeile"/>
        <w:tabs>
          <w:tab w:val="clear" w:pos="4536"/>
          <w:tab w:val="clear" w:pos="9072"/>
        </w:tabs>
        <w:spacing w:before="360" w:after="360"/>
        <w:rPr>
          <w:rFonts w:ascii="Arial" w:hAnsi="Arial" w:cs="Arial"/>
          <w:b/>
          <w:bCs/>
        </w:rPr>
      </w:pPr>
      <w:r>
        <w:rPr>
          <w:rFonts w:ascii="Arial" w:hAnsi="Arial"/>
          <w:b/>
        </w:rPr>
        <w:t xml:space="preserve">Würth Elektronik est désormais un « Partenaire </w:t>
      </w:r>
      <w:r w:rsidR="005070FE" w:rsidRPr="005070FE">
        <w:rPr>
          <w:rFonts w:ascii="Arial" w:hAnsi="Arial"/>
          <w:b/>
        </w:rPr>
        <w:t>préférentiel</w:t>
      </w:r>
      <w:r>
        <w:rPr>
          <w:rFonts w:ascii="Arial" w:hAnsi="Arial"/>
          <w:b/>
        </w:rPr>
        <w:t> » d’Infineon</w:t>
      </w:r>
    </w:p>
    <w:p w14:paraId="276D67EC" w14:textId="5D8B7C7A" w:rsidR="00FB79DC" w:rsidRPr="00FB79DC" w:rsidRDefault="00CE2A46" w:rsidP="00FB79DC">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Les bons composants pour votre circuit intégré</w:t>
      </w:r>
    </w:p>
    <w:p w14:paraId="7E7DC8C1" w14:textId="622DF3AA" w:rsidR="00ED7ACC" w:rsidRDefault="00FB79DC">
      <w:pPr>
        <w:pStyle w:val="Textkrper"/>
        <w:spacing w:before="120" w:after="120" w:line="260" w:lineRule="exact"/>
        <w:jc w:val="both"/>
        <w:rPr>
          <w:rFonts w:ascii="Arial" w:hAnsi="Arial"/>
          <w:color w:val="000000"/>
        </w:rPr>
      </w:pPr>
      <w:r w:rsidRPr="00FB79DC">
        <w:rPr>
          <w:rFonts w:ascii="Arial" w:hAnsi="Arial"/>
          <w:color w:val="000000"/>
        </w:rPr>
        <w:t>Waldenburg</w:t>
      </w:r>
      <w:r w:rsidR="001A349E">
        <w:rPr>
          <w:rFonts w:ascii="Arial" w:hAnsi="Arial"/>
          <w:color w:val="000000"/>
        </w:rPr>
        <w:t xml:space="preserve"> (Allemagne)</w:t>
      </w:r>
      <w:r w:rsidRPr="00FB79DC">
        <w:rPr>
          <w:rFonts w:ascii="Arial" w:hAnsi="Arial"/>
          <w:color w:val="000000"/>
        </w:rPr>
        <w:t xml:space="preserve">, le </w:t>
      </w:r>
      <w:r w:rsidR="000813FB">
        <w:rPr>
          <w:rFonts w:ascii="Arial" w:hAnsi="Arial"/>
          <w:color w:val="000000"/>
        </w:rPr>
        <w:t>24</w:t>
      </w:r>
      <w:r w:rsidRPr="00FB79DC">
        <w:rPr>
          <w:rFonts w:ascii="Arial" w:hAnsi="Arial"/>
          <w:color w:val="000000"/>
        </w:rPr>
        <w:t xml:space="preserve"> mars 2025 – Würth Elektronik, l'un des principaux fabricants de composants électroniques et électromécaniques, élargit sa collaboration avec les fabricants de semi-conducteurs. L'entreprise, qui collabore depuis de nombreuses années avec les </w:t>
      </w:r>
      <w:r>
        <w:rPr>
          <w:rFonts w:ascii="Arial" w:hAnsi="Arial"/>
          <w:color w:val="000000"/>
        </w:rPr>
        <w:t>principaux</w:t>
      </w:r>
      <w:r w:rsidRPr="00FB79DC">
        <w:rPr>
          <w:rFonts w:ascii="Arial" w:hAnsi="Arial"/>
          <w:color w:val="000000"/>
        </w:rPr>
        <w:t xml:space="preserve"> acteurs de l'industrie, a récemment été reconnue par Infineon en tant que "Partenaire </w:t>
      </w:r>
      <w:bookmarkStart w:id="0" w:name="_Hlk193354150"/>
      <w:r w:rsidR="005070FE">
        <w:rPr>
          <w:rFonts w:ascii="Arial" w:hAnsi="Arial"/>
          <w:color w:val="000000"/>
        </w:rPr>
        <w:t>p</w:t>
      </w:r>
      <w:r w:rsidRPr="00FB79DC">
        <w:rPr>
          <w:rFonts w:ascii="Arial" w:hAnsi="Arial"/>
          <w:color w:val="000000"/>
        </w:rPr>
        <w:t>référentiel</w:t>
      </w:r>
      <w:bookmarkEnd w:id="0"/>
      <w:r w:rsidRPr="00FB79DC">
        <w:rPr>
          <w:rFonts w:ascii="Arial" w:hAnsi="Arial"/>
          <w:color w:val="000000"/>
        </w:rPr>
        <w:t xml:space="preserve">". Les développeurs bénéficient de ce partenariat en accédant à plus de 480 conceptions de référence intégrant des puces Infineon et des composants compatibles sur le site </w:t>
      </w:r>
      <w:r>
        <w:rPr>
          <w:rFonts w:ascii="Arial" w:hAnsi="Arial"/>
          <w:color w:val="000000"/>
        </w:rPr>
        <w:t>internet</w:t>
      </w:r>
      <w:r w:rsidRPr="00FB79DC">
        <w:rPr>
          <w:rFonts w:ascii="Arial" w:hAnsi="Arial"/>
          <w:color w:val="000000"/>
        </w:rPr>
        <w:t xml:space="preserve"> de Würth Elektronik.</w:t>
      </w:r>
    </w:p>
    <w:p w14:paraId="3A8B949E" w14:textId="3D4E0734" w:rsidR="00ED7ACC" w:rsidRDefault="00FB79DC" w:rsidP="001A349E">
      <w:pPr>
        <w:pStyle w:val="Textkrper"/>
        <w:spacing w:before="120" w:after="120" w:line="260" w:lineRule="exact"/>
        <w:jc w:val="both"/>
        <w:rPr>
          <w:rFonts w:ascii="Arial" w:hAnsi="Arial"/>
          <w:b w:val="0"/>
          <w:bCs w:val="0"/>
        </w:rPr>
      </w:pPr>
      <w:r w:rsidRPr="00FB79DC">
        <w:rPr>
          <w:rFonts w:ascii="Arial" w:hAnsi="Arial"/>
          <w:b w:val="0"/>
        </w:rPr>
        <w:t>« Aujourd'hui, les circuits intégrés (</w:t>
      </w:r>
      <w:r>
        <w:rPr>
          <w:rFonts w:ascii="Arial" w:hAnsi="Arial"/>
          <w:b w:val="0"/>
        </w:rPr>
        <w:t>IC</w:t>
      </w:r>
      <w:r w:rsidRPr="00FB79DC">
        <w:rPr>
          <w:rFonts w:ascii="Arial" w:hAnsi="Arial"/>
          <w:b w:val="0"/>
        </w:rPr>
        <w:t xml:space="preserve">) et les composants passifs se complètent pour former un </w:t>
      </w:r>
      <w:r>
        <w:rPr>
          <w:rFonts w:ascii="Arial" w:hAnsi="Arial"/>
          <w:b w:val="0"/>
        </w:rPr>
        <w:t>ensemble</w:t>
      </w:r>
      <w:r w:rsidRPr="00FB79DC">
        <w:rPr>
          <w:rFonts w:ascii="Arial" w:hAnsi="Arial"/>
          <w:b w:val="0"/>
        </w:rPr>
        <w:t xml:space="preserve"> fonctionnel dans presque tou</w:t>
      </w:r>
      <w:r>
        <w:rPr>
          <w:rFonts w:ascii="Arial" w:hAnsi="Arial"/>
          <w:b w:val="0"/>
        </w:rPr>
        <w:t>s</w:t>
      </w:r>
      <w:r w:rsidRPr="00FB79DC">
        <w:rPr>
          <w:rFonts w:ascii="Arial" w:hAnsi="Arial"/>
          <w:b w:val="0"/>
        </w:rPr>
        <w:t xml:space="preserve"> les</w:t>
      </w:r>
      <w:r>
        <w:rPr>
          <w:rFonts w:ascii="Arial" w:hAnsi="Arial"/>
          <w:b w:val="0"/>
        </w:rPr>
        <w:t xml:space="preserve"> </w:t>
      </w:r>
      <w:r w:rsidRPr="00FB79DC">
        <w:rPr>
          <w:rFonts w:ascii="Arial" w:hAnsi="Arial"/>
          <w:b w:val="0"/>
        </w:rPr>
        <w:t>assembl</w:t>
      </w:r>
      <w:r>
        <w:rPr>
          <w:rFonts w:ascii="Arial" w:hAnsi="Arial"/>
          <w:b w:val="0"/>
        </w:rPr>
        <w:t>ages</w:t>
      </w:r>
      <w:r w:rsidRPr="00FB79DC">
        <w:rPr>
          <w:rFonts w:ascii="Arial" w:hAnsi="Arial"/>
          <w:b w:val="0"/>
        </w:rPr>
        <w:t xml:space="preserve"> électroniques », explique Alexander Gerfer, </w:t>
      </w:r>
      <w:r>
        <w:rPr>
          <w:rFonts w:ascii="Arial" w:hAnsi="Arial"/>
          <w:b w:val="0"/>
        </w:rPr>
        <w:t>D</w:t>
      </w:r>
      <w:r w:rsidRPr="00FB79DC">
        <w:rPr>
          <w:rFonts w:ascii="Arial" w:hAnsi="Arial"/>
          <w:b w:val="0"/>
        </w:rPr>
        <w:t xml:space="preserve">irecteur </w:t>
      </w:r>
      <w:r>
        <w:rPr>
          <w:rFonts w:ascii="Arial" w:hAnsi="Arial"/>
          <w:b w:val="0"/>
        </w:rPr>
        <w:t>T</w:t>
      </w:r>
      <w:r w:rsidRPr="00FB79DC">
        <w:rPr>
          <w:rFonts w:ascii="Arial" w:hAnsi="Arial"/>
          <w:b w:val="0"/>
        </w:rPr>
        <w:t xml:space="preserve">echnique de Würth Elektronik eiSos. « Il est donc logique que nous collaborions étroitement avec des fabricants </w:t>
      </w:r>
      <w:r>
        <w:rPr>
          <w:rFonts w:ascii="Arial" w:hAnsi="Arial"/>
          <w:b w:val="0"/>
        </w:rPr>
        <w:t xml:space="preserve">de circuits intégrés tels qu’Infineon </w:t>
      </w:r>
      <w:r w:rsidRPr="00FB79DC">
        <w:rPr>
          <w:rFonts w:ascii="Arial" w:hAnsi="Arial"/>
          <w:b w:val="0"/>
        </w:rPr>
        <w:t xml:space="preserve">pour offrir aux développeurs des solutions clés en main. » Le statut de Partenaire </w:t>
      </w:r>
      <w:r w:rsidR="005070FE">
        <w:rPr>
          <w:rFonts w:ascii="Arial" w:hAnsi="Arial"/>
          <w:b w:val="0"/>
        </w:rPr>
        <w:t>p</w:t>
      </w:r>
      <w:r w:rsidRPr="00FB79DC">
        <w:rPr>
          <w:rFonts w:ascii="Arial" w:hAnsi="Arial"/>
          <w:b w:val="0"/>
        </w:rPr>
        <w:t xml:space="preserve">référentiel souligne la confiance d'Infineon dans la qualité et la fiabilité des produits de Würth Elektronik. En tant que Partenaire </w:t>
      </w:r>
      <w:r w:rsidR="005070FE">
        <w:rPr>
          <w:rFonts w:ascii="Arial" w:hAnsi="Arial"/>
          <w:b w:val="0"/>
        </w:rPr>
        <w:t>p</w:t>
      </w:r>
      <w:r w:rsidRPr="00FB79DC">
        <w:rPr>
          <w:rFonts w:ascii="Arial" w:hAnsi="Arial"/>
          <w:b w:val="0"/>
        </w:rPr>
        <w:t>référentiel, Würth Elektronik bénéficie également d'un accès aux ressources internes exclusives du fabricant de semi-conducteurs.</w:t>
      </w:r>
    </w:p>
    <w:p w14:paraId="29D4D4BB" w14:textId="21339247" w:rsidR="00A120BE" w:rsidRPr="00A120BE" w:rsidRDefault="00CE2A46" w:rsidP="001A349E">
      <w:pPr>
        <w:pStyle w:val="Textkrper"/>
        <w:spacing w:before="120" w:after="120" w:line="260" w:lineRule="exact"/>
        <w:jc w:val="both"/>
        <w:rPr>
          <w:rFonts w:ascii="Arial" w:hAnsi="Arial"/>
        </w:rPr>
      </w:pPr>
      <w:r>
        <w:rPr>
          <w:rFonts w:ascii="Arial" w:hAnsi="Arial"/>
        </w:rPr>
        <w:t>Avantages pratiques pour les développeurs</w:t>
      </w:r>
    </w:p>
    <w:p w14:paraId="507754E7" w14:textId="383AB6AC" w:rsidR="00CE2A46" w:rsidRDefault="00A120BE" w:rsidP="001A349E">
      <w:pPr>
        <w:spacing w:before="120" w:after="120" w:line="260" w:lineRule="exact"/>
        <w:jc w:val="both"/>
        <w:rPr>
          <w:rFonts w:ascii="Arial" w:hAnsi="Arial" w:cs="Arial"/>
          <w:bCs/>
          <w:sz w:val="20"/>
          <w:szCs w:val="20"/>
        </w:rPr>
      </w:pPr>
      <w:r w:rsidRPr="00A120BE">
        <w:rPr>
          <w:rFonts w:ascii="Arial" w:hAnsi="Arial" w:cs="Arial"/>
          <w:bCs/>
          <w:sz w:val="20"/>
          <w:szCs w:val="20"/>
        </w:rPr>
        <w:t xml:space="preserve">Ce partenariat offre une réelle valeur ajoutée pour les développeurs : une section dédiée sur le site </w:t>
      </w:r>
      <w:r>
        <w:rPr>
          <w:rFonts w:ascii="Arial" w:hAnsi="Arial" w:cs="Arial"/>
          <w:bCs/>
          <w:sz w:val="20"/>
          <w:szCs w:val="20"/>
        </w:rPr>
        <w:t>internet</w:t>
      </w:r>
      <w:r w:rsidRPr="00A120BE">
        <w:rPr>
          <w:rFonts w:ascii="Arial" w:hAnsi="Arial" w:cs="Arial"/>
          <w:bCs/>
          <w:sz w:val="20"/>
          <w:szCs w:val="20"/>
        </w:rPr>
        <w:t xml:space="preserve"> de Würth Elektronik donne accès à toutes les conceptions de référence pour lesquelles Infineon utilise des composants Würth Elektronik. L</w:t>
      </w:r>
      <w:r>
        <w:rPr>
          <w:rFonts w:ascii="Arial" w:hAnsi="Arial" w:cs="Arial"/>
          <w:bCs/>
          <w:sz w:val="20"/>
          <w:szCs w:val="20"/>
        </w:rPr>
        <w:t>es</w:t>
      </w:r>
      <w:r w:rsidRPr="00A120BE">
        <w:rPr>
          <w:rFonts w:ascii="Arial" w:hAnsi="Arial" w:cs="Arial"/>
          <w:bCs/>
          <w:sz w:val="20"/>
          <w:szCs w:val="20"/>
        </w:rPr>
        <w:t xml:space="preserve"> fonction</w:t>
      </w:r>
      <w:r>
        <w:rPr>
          <w:rFonts w:ascii="Arial" w:hAnsi="Arial" w:cs="Arial"/>
          <w:bCs/>
          <w:sz w:val="20"/>
          <w:szCs w:val="20"/>
        </w:rPr>
        <w:t>s</w:t>
      </w:r>
      <w:r w:rsidRPr="00A120BE">
        <w:rPr>
          <w:rFonts w:ascii="Arial" w:hAnsi="Arial" w:cs="Arial"/>
          <w:bCs/>
          <w:sz w:val="20"/>
          <w:szCs w:val="20"/>
        </w:rPr>
        <w:t xml:space="preserve"> de filtrage permet</w:t>
      </w:r>
      <w:r>
        <w:rPr>
          <w:rFonts w:ascii="Arial" w:hAnsi="Arial" w:cs="Arial"/>
          <w:bCs/>
          <w:sz w:val="20"/>
          <w:szCs w:val="20"/>
        </w:rPr>
        <w:t>tent</w:t>
      </w:r>
      <w:r w:rsidRPr="00A120BE">
        <w:rPr>
          <w:rFonts w:ascii="Arial" w:hAnsi="Arial" w:cs="Arial"/>
          <w:bCs/>
          <w:sz w:val="20"/>
          <w:szCs w:val="20"/>
        </w:rPr>
        <w:t xml:space="preserve"> aux utilisateurs de sélectionner une conception de référence optimisée pour leur application. Chaque conception comprend une description complète, des schémas de circuits détaillés, les spécifications de </w:t>
      </w:r>
      <w:r w:rsidRPr="00A120BE">
        <w:rPr>
          <w:rFonts w:ascii="Arial" w:hAnsi="Arial"/>
          <w:sz w:val="20"/>
          <w:szCs w:val="20"/>
        </w:rPr>
        <w:t>circuit intégré</w:t>
      </w:r>
      <w:r w:rsidRPr="00A120BE">
        <w:rPr>
          <w:rFonts w:ascii="Arial" w:hAnsi="Arial" w:cs="Arial"/>
          <w:bCs/>
          <w:sz w:val="20"/>
          <w:szCs w:val="20"/>
        </w:rPr>
        <w:t xml:space="preserve"> et une </w:t>
      </w:r>
      <w:r w:rsidRPr="00A120BE">
        <w:rPr>
          <w:rFonts w:ascii="Arial" w:hAnsi="Arial"/>
          <w:sz w:val="20"/>
          <w:szCs w:val="20"/>
        </w:rPr>
        <w:t>nomenclature</w:t>
      </w:r>
      <w:r w:rsidRPr="00A120BE">
        <w:rPr>
          <w:rFonts w:ascii="Arial" w:hAnsi="Arial" w:cs="Arial"/>
          <w:bCs/>
          <w:sz w:val="20"/>
          <w:szCs w:val="20"/>
        </w:rPr>
        <w:t xml:space="preserve"> </w:t>
      </w:r>
      <w:r>
        <w:rPr>
          <w:rFonts w:ascii="Arial" w:hAnsi="Arial" w:cs="Arial"/>
          <w:bCs/>
          <w:sz w:val="20"/>
          <w:szCs w:val="20"/>
        </w:rPr>
        <w:t>d</w:t>
      </w:r>
      <w:r w:rsidRPr="00A120BE">
        <w:rPr>
          <w:rFonts w:ascii="Arial" w:hAnsi="Arial" w:cs="Arial"/>
          <w:bCs/>
          <w:sz w:val="20"/>
          <w:szCs w:val="20"/>
        </w:rPr>
        <w:t>es composants Würth Elektronik appropriés. Les développeurs peuvent demander ces composants sous forme d'échantillons gratuits ou accéder à des spécifications supplémentaires via la plateforme de simulation REDEXPERT. La base de données comprend actuellement plus de 25 000 composants Würth Elektronik.</w:t>
      </w:r>
    </w:p>
    <w:p w14:paraId="3F7EA9B8" w14:textId="77777777" w:rsidR="00CE2A46" w:rsidRDefault="00CE2A46">
      <w:pPr>
        <w:rPr>
          <w:rFonts w:ascii="Arial" w:hAnsi="Arial" w:cs="Arial"/>
          <w:bCs/>
          <w:sz w:val="20"/>
          <w:szCs w:val="20"/>
        </w:rPr>
      </w:pPr>
      <w:r>
        <w:rPr>
          <w:rFonts w:ascii="Arial" w:hAnsi="Arial" w:cs="Arial"/>
          <w:bCs/>
          <w:sz w:val="20"/>
          <w:szCs w:val="20"/>
        </w:rPr>
        <w:br w:type="page"/>
      </w:r>
    </w:p>
    <w:p w14:paraId="0D0113E3" w14:textId="77777777" w:rsidR="00ED7ACC" w:rsidRDefault="00CE2A46" w:rsidP="001A349E">
      <w:pPr>
        <w:pStyle w:val="Textkrper"/>
        <w:spacing w:before="120" w:after="120" w:line="260" w:lineRule="exact"/>
        <w:jc w:val="both"/>
        <w:rPr>
          <w:rFonts w:ascii="Arial" w:hAnsi="Arial"/>
        </w:rPr>
      </w:pPr>
      <w:r>
        <w:rPr>
          <w:rFonts w:ascii="Arial" w:hAnsi="Arial"/>
        </w:rPr>
        <w:lastRenderedPageBreak/>
        <w:t>Un raccourci vers votre premier prototype</w:t>
      </w:r>
    </w:p>
    <w:p w14:paraId="379635A9" w14:textId="77777777" w:rsidR="001D4361" w:rsidRDefault="00A120BE" w:rsidP="001A349E">
      <w:pPr>
        <w:pStyle w:val="Textkrper"/>
        <w:spacing w:before="120" w:after="120" w:line="260" w:lineRule="exact"/>
        <w:jc w:val="both"/>
        <w:rPr>
          <w:rFonts w:ascii="Arial" w:hAnsi="Arial"/>
          <w:b w:val="0"/>
        </w:rPr>
      </w:pPr>
      <w:r w:rsidRPr="00A120BE">
        <w:rPr>
          <w:rFonts w:ascii="Arial" w:hAnsi="Arial"/>
          <w:b w:val="0"/>
        </w:rPr>
        <w:t xml:space="preserve">« Les conceptions de référence </w:t>
      </w:r>
      <w:r w:rsidR="006B49CA">
        <w:rPr>
          <w:rFonts w:ascii="Arial" w:hAnsi="Arial"/>
          <w:b w:val="0"/>
        </w:rPr>
        <w:t>de nombreux autres fabricants de circuits intégrés</w:t>
      </w:r>
      <w:r w:rsidRPr="00A120BE">
        <w:rPr>
          <w:rFonts w:ascii="Arial" w:hAnsi="Arial"/>
          <w:b w:val="0"/>
        </w:rPr>
        <w:t xml:space="preserve">, créées avec nos composants, sont également rapidement et facilement disponibles sur notre site </w:t>
      </w:r>
      <w:r w:rsidR="006B49CA">
        <w:rPr>
          <w:rFonts w:ascii="Arial" w:hAnsi="Arial"/>
          <w:b w:val="0"/>
        </w:rPr>
        <w:t xml:space="preserve">internet </w:t>
      </w:r>
      <w:r w:rsidRPr="00A120BE">
        <w:rPr>
          <w:rFonts w:ascii="Arial" w:hAnsi="Arial"/>
          <w:b w:val="0"/>
        </w:rPr>
        <w:t xml:space="preserve">», souligne </w:t>
      </w:r>
      <w:r w:rsidR="006B49CA" w:rsidRPr="006B49CA">
        <w:rPr>
          <w:rFonts w:ascii="Arial" w:hAnsi="Arial"/>
          <w:b w:val="0"/>
        </w:rPr>
        <w:t>Alexander</w:t>
      </w:r>
      <w:r w:rsidR="006B49CA" w:rsidRPr="006B49CA">
        <w:rPr>
          <w:rFonts w:ascii="Arial" w:hAnsi="Arial"/>
        </w:rPr>
        <w:t xml:space="preserve"> </w:t>
      </w:r>
      <w:r w:rsidRPr="00A120BE">
        <w:rPr>
          <w:rFonts w:ascii="Arial" w:hAnsi="Arial"/>
          <w:b w:val="0"/>
        </w:rPr>
        <w:t>Gerfer.</w:t>
      </w:r>
      <w:r w:rsidR="006B49CA">
        <w:rPr>
          <w:rFonts w:ascii="Arial" w:hAnsi="Arial"/>
          <w:b w:val="0"/>
        </w:rPr>
        <w:t xml:space="preserve"> </w:t>
      </w:r>
      <w:r w:rsidRPr="00A120BE">
        <w:rPr>
          <w:rFonts w:ascii="Arial" w:hAnsi="Arial"/>
          <w:b w:val="0"/>
        </w:rPr>
        <w:t xml:space="preserve">« Elles vous guident directement du concept au premier prototype. » </w:t>
      </w:r>
    </w:p>
    <w:p w14:paraId="4899A8A1" w14:textId="15855839" w:rsidR="00A120BE" w:rsidRPr="00A120BE" w:rsidRDefault="00A120BE" w:rsidP="00A120BE">
      <w:pPr>
        <w:pStyle w:val="Textkrper"/>
        <w:spacing w:before="120" w:after="120" w:line="260" w:lineRule="exact"/>
        <w:jc w:val="both"/>
        <w:rPr>
          <w:rFonts w:ascii="Arial" w:hAnsi="Arial"/>
          <w:b w:val="0"/>
        </w:rPr>
      </w:pPr>
      <w:r w:rsidRPr="00A120BE">
        <w:rPr>
          <w:rFonts w:ascii="Arial" w:hAnsi="Arial"/>
          <w:b w:val="0"/>
        </w:rPr>
        <w:t>Les développeurs peuvent trouver un circuit fonctionnel pour de nombreuses applications standard, telles que l</w:t>
      </w:r>
      <w:r w:rsidR="006B49CA">
        <w:rPr>
          <w:rFonts w:ascii="Arial" w:hAnsi="Arial"/>
          <w:b w:val="0"/>
        </w:rPr>
        <w:t>a commande</w:t>
      </w:r>
      <w:r w:rsidRPr="00A120BE">
        <w:rPr>
          <w:rFonts w:ascii="Arial" w:hAnsi="Arial"/>
          <w:b w:val="0"/>
        </w:rPr>
        <w:t xml:space="preserve"> de moteurs ou les convertisseurs, et l’adapter selon leurs besoins – en quelques clics seulement. REDEXPERT aide à optimiser le processus de dimensionnement et fournit un soutien précieux aux PME qui manquent souvent de ressources en développement.</w:t>
      </w:r>
    </w:p>
    <w:p w14:paraId="19C7A2FE" w14:textId="55009671" w:rsidR="00ED7ACC" w:rsidRDefault="00A120BE" w:rsidP="00A120BE">
      <w:pPr>
        <w:pStyle w:val="Textkrper"/>
        <w:spacing w:before="120" w:after="120" w:line="260" w:lineRule="exact"/>
        <w:jc w:val="both"/>
        <w:rPr>
          <w:rFonts w:ascii="Arial" w:hAnsi="Arial"/>
          <w:b w:val="0"/>
          <w:bCs w:val="0"/>
        </w:rPr>
      </w:pPr>
      <w:r w:rsidRPr="00A120BE">
        <w:rPr>
          <w:rFonts w:ascii="Arial" w:hAnsi="Arial"/>
          <w:b w:val="0"/>
        </w:rPr>
        <w:t xml:space="preserve">En plus des conceptions de référence, Würth Elektronik propose également une multitude de notes d'application sur son site, développées en collaboration avec des fabricants de </w:t>
      </w:r>
      <w:r>
        <w:rPr>
          <w:rFonts w:ascii="Arial" w:hAnsi="Arial"/>
          <w:b w:val="0"/>
        </w:rPr>
        <w:t>circuits intégrés</w:t>
      </w:r>
      <w:r w:rsidRPr="00A120BE">
        <w:rPr>
          <w:rFonts w:ascii="Arial" w:hAnsi="Arial"/>
          <w:b w:val="0"/>
        </w:rPr>
        <w:t>, ainsi que des informations sur les événements à venir</w:t>
      </w:r>
      <w:r>
        <w:rPr>
          <w:rFonts w:ascii="Arial" w:hAnsi="Arial"/>
          <w:b w:val="0"/>
        </w:rPr>
        <w:t>.</w:t>
      </w:r>
    </w:p>
    <w:p w14:paraId="1AC497C2" w14:textId="2AF8C893" w:rsidR="00ED7ACC" w:rsidRDefault="001D4361">
      <w:pPr>
        <w:pStyle w:val="Textkrper"/>
        <w:spacing w:before="120" w:after="120" w:line="260" w:lineRule="exact"/>
        <w:rPr>
          <w:rStyle w:val="Hyperlink"/>
          <w:rFonts w:ascii="Arial" w:hAnsi="Arial"/>
          <w:b w:val="0"/>
          <w:bCs w:val="0"/>
        </w:rPr>
      </w:pPr>
      <w:r w:rsidRPr="001D4361">
        <w:rPr>
          <w:rFonts w:ascii="Arial" w:hAnsi="Arial"/>
          <w:b w:val="0"/>
        </w:rPr>
        <w:t>Les conceptions de référence</w:t>
      </w:r>
      <w:r>
        <w:rPr>
          <w:rFonts w:ascii="Arial" w:hAnsi="Arial"/>
          <w:b w:val="0"/>
        </w:rPr>
        <w:t xml:space="preserve"> d’Infineon sont disponibles sur :</w:t>
      </w:r>
      <w:r>
        <w:rPr>
          <w:rFonts w:ascii="Arial" w:hAnsi="Arial"/>
          <w:b w:val="0"/>
        </w:rPr>
        <w:br/>
      </w:r>
      <w:hyperlink r:id="rId11" w:history="1">
        <w:r>
          <w:rPr>
            <w:rStyle w:val="Hyperlink"/>
            <w:rFonts w:ascii="Arial" w:hAnsi="Arial"/>
            <w:b w:val="0"/>
          </w:rPr>
          <w:t>https://www.we-online.com/en/components/icref/infineon-technologies</w:t>
        </w:r>
      </w:hyperlink>
    </w:p>
    <w:p w14:paraId="02FEAAC6" w14:textId="43345BA8" w:rsidR="00ED7ACC" w:rsidRDefault="00CE2A46">
      <w:pPr>
        <w:pStyle w:val="Textkrper"/>
        <w:spacing w:before="120" w:after="120" w:line="260" w:lineRule="exact"/>
        <w:rPr>
          <w:rFonts w:ascii="Arial" w:hAnsi="Arial"/>
          <w:b w:val="0"/>
          <w:bCs w:val="0"/>
        </w:rPr>
      </w:pPr>
      <w:r>
        <w:rPr>
          <w:rFonts w:ascii="Arial" w:hAnsi="Arial"/>
          <w:b w:val="0"/>
        </w:rPr>
        <w:t xml:space="preserve">Voici une vue d’ensemble de tous les partenaires de circuits intégrés et </w:t>
      </w:r>
      <w:r w:rsidR="001D4361" w:rsidRPr="001D4361">
        <w:rPr>
          <w:rFonts w:ascii="Arial" w:hAnsi="Arial"/>
          <w:b w:val="0"/>
        </w:rPr>
        <w:t>des conceptions de référence :</w:t>
      </w:r>
      <w:r w:rsidR="001D4361">
        <w:rPr>
          <w:rFonts w:ascii="Arial" w:hAnsi="Arial"/>
          <w:b w:val="0"/>
        </w:rPr>
        <w:t xml:space="preserve"> </w:t>
      </w:r>
      <w:r>
        <w:rPr>
          <w:rFonts w:ascii="Arial" w:hAnsi="Arial"/>
          <w:b w:val="0"/>
        </w:rPr>
        <w:br/>
      </w:r>
      <w:hyperlink r:id="rId12" w:history="1">
        <w:r w:rsidR="00ED7ACC">
          <w:rPr>
            <w:rStyle w:val="Hyperlink"/>
            <w:rFonts w:ascii="Arial" w:hAnsi="Arial"/>
            <w:b w:val="0"/>
          </w:rPr>
          <w:t>https://www.we-online.com/en/components/icref</w:t>
        </w:r>
      </w:hyperlink>
    </w:p>
    <w:p w14:paraId="7EEA115E" w14:textId="77777777" w:rsidR="00ED7ACC" w:rsidRDefault="00ED7ACC">
      <w:pPr>
        <w:pStyle w:val="Textkrper"/>
        <w:spacing w:before="120" w:after="120" w:line="260" w:lineRule="exact"/>
        <w:rPr>
          <w:rFonts w:ascii="Arial" w:hAnsi="Arial"/>
          <w:b w:val="0"/>
          <w:bCs w:val="0"/>
        </w:rPr>
      </w:pPr>
    </w:p>
    <w:p w14:paraId="108305E0" w14:textId="77777777" w:rsidR="00325AA1" w:rsidRPr="0023476F" w:rsidRDefault="00325AA1" w:rsidP="00325AA1">
      <w:pPr>
        <w:pBdr>
          <w:bottom w:val="single" w:sz="6" w:space="1" w:color="auto"/>
        </w:pBdr>
        <w:spacing w:after="120" w:line="280" w:lineRule="exact"/>
        <w:jc w:val="both"/>
        <w:rPr>
          <w:rFonts w:ascii="Arial" w:hAnsi="Arial" w:cs="Arial"/>
          <w:sz w:val="20"/>
          <w:szCs w:val="20"/>
        </w:rPr>
      </w:pPr>
    </w:p>
    <w:p w14:paraId="0D850FDC" w14:textId="77777777" w:rsidR="00325AA1" w:rsidRPr="0023476F" w:rsidRDefault="00325AA1" w:rsidP="00325AA1">
      <w:pPr>
        <w:spacing w:after="120" w:line="280" w:lineRule="exact"/>
        <w:rPr>
          <w:rFonts w:ascii="Arial" w:hAnsi="Arial"/>
          <w:b/>
          <w:sz w:val="18"/>
        </w:rPr>
      </w:pPr>
    </w:p>
    <w:p w14:paraId="44BE2837" w14:textId="77777777" w:rsidR="00325AA1" w:rsidRPr="0023476F" w:rsidRDefault="00325AA1" w:rsidP="00325AA1">
      <w:pPr>
        <w:spacing w:after="120" w:line="280" w:lineRule="exact"/>
        <w:rPr>
          <w:rFonts w:ascii="Arial" w:hAnsi="Arial" w:cs="Arial"/>
          <w:b/>
          <w:bCs/>
          <w:sz w:val="18"/>
          <w:szCs w:val="18"/>
        </w:rPr>
      </w:pPr>
      <w:r w:rsidRPr="0023476F">
        <w:rPr>
          <w:rFonts w:ascii="Arial" w:hAnsi="Arial"/>
          <w:b/>
          <w:sz w:val="18"/>
        </w:rPr>
        <w:t>Images disponibles</w:t>
      </w:r>
    </w:p>
    <w:p w14:paraId="4E198FC9" w14:textId="77777777" w:rsidR="00325AA1" w:rsidRPr="0023476F" w:rsidRDefault="00325AA1" w:rsidP="00325AA1">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13" w:history="1">
        <w:r w:rsidRPr="0023476F">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D7ACC" w14:paraId="4202CBF2" w14:textId="77777777">
        <w:trPr>
          <w:trHeight w:val="1701"/>
        </w:trPr>
        <w:tc>
          <w:tcPr>
            <w:tcW w:w="3510" w:type="dxa"/>
          </w:tcPr>
          <w:p w14:paraId="3430A9D6" w14:textId="124CA202" w:rsidR="00ED7ACC" w:rsidRDefault="00CE2A46">
            <w:pPr>
              <w:pStyle w:val="txt"/>
              <w:rPr>
                <w:b/>
                <w:bCs/>
                <w:sz w:val="18"/>
              </w:rPr>
            </w:pPr>
            <w:r>
              <w:rPr>
                <w:b/>
              </w:rPr>
              <w:br/>
            </w:r>
            <w:r w:rsidR="00325AA1">
              <w:rPr>
                <w:noProof/>
              </w:rPr>
              <w:drawing>
                <wp:inline distT="0" distB="0" distL="0" distR="0" wp14:anchorId="20EFD449" wp14:editId="2BAFB8C8">
                  <wp:extent cx="2139950" cy="988695"/>
                  <wp:effectExtent l="0" t="0" r="0" b="1905"/>
                  <wp:docPr id="376043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sidRPr="001D4361">
              <w:rPr>
                <w:sz w:val="16"/>
                <w:szCs w:val="16"/>
              </w:rPr>
              <w:t>Source : Würth Elektronik</w:t>
            </w:r>
            <w:r>
              <w:rPr>
                <w:sz w:val="16"/>
              </w:rPr>
              <w:t xml:space="preserve"> </w:t>
            </w:r>
          </w:p>
          <w:p w14:paraId="49F03CA6" w14:textId="0BA989AB" w:rsidR="00ED7ACC" w:rsidRDefault="00CE2A46">
            <w:pPr>
              <w:autoSpaceDE w:val="0"/>
              <w:autoSpaceDN w:val="0"/>
              <w:adjustRightInd w:val="0"/>
              <w:rPr>
                <w:rFonts w:ascii="Arial" w:hAnsi="Arial" w:cs="Arial"/>
                <w:b/>
                <w:sz w:val="18"/>
                <w:szCs w:val="18"/>
              </w:rPr>
            </w:pPr>
            <w:r>
              <w:rPr>
                <w:rFonts w:ascii="Arial" w:hAnsi="Arial"/>
                <w:b/>
                <w:sz w:val="18"/>
              </w:rPr>
              <w:t xml:space="preserve">Sélection libre : les développeurs peuvent utiliser diverses fonctions de recherche et de filtrage pour sélectionner </w:t>
            </w:r>
            <w:r w:rsidR="001D4361">
              <w:rPr>
                <w:rFonts w:ascii="Arial" w:hAnsi="Arial"/>
                <w:b/>
                <w:sz w:val="18"/>
              </w:rPr>
              <w:t xml:space="preserve">la conception de référence </w:t>
            </w:r>
            <w:r>
              <w:rPr>
                <w:rFonts w:ascii="Arial" w:hAnsi="Arial"/>
                <w:b/>
                <w:sz w:val="18"/>
              </w:rPr>
              <w:t>qui leur convient.</w:t>
            </w:r>
          </w:p>
          <w:p w14:paraId="20539834" w14:textId="77777777" w:rsidR="00ED7ACC" w:rsidRDefault="00ED7ACC">
            <w:pPr>
              <w:autoSpaceDE w:val="0"/>
              <w:autoSpaceDN w:val="0"/>
              <w:adjustRightInd w:val="0"/>
              <w:rPr>
                <w:rFonts w:ascii="Arial" w:hAnsi="Arial" w:cs="Arial"/>
                <w:b/>
                <w:bCs/>
                <w:sz w:val="18"/>
                <w:szCs w:val="18"/>
              </w:rPr>
            </w:pPr>
          </w:p>
        </w:tc>
      </w:tr>
    </w:tbl>
    <w:p w14:paraId="0056E094" w14:textId="491CF311" w:rsidR="00325AA1" w:rsidRDefault="00325AA1">
      <w:pPr>
        <w:pStyle w:val="PITextkrper"/>
        <w:rPr>
          <w:b/>
          <w:bCs/>
          <w:sz w:val="18"/>
          <w:szCs w:val="18"/>
        </w:rPr>
      </w:pPr>
    </w:p>
    <w:p w14:paraId="76A5B015" w14:textId="77777777" w:rsidR="00325AA1" w:rsidRDefault="00325AA1">
      <w:pPr>
        <w:rPr>
          <w:rFonts w:ascii="Arial" w:hAnsi="Arial"/>
          <w:b/>
          <w:bCs/>
          <w:sz w:val="18"/>
          <w:szCs w:val="18"/>
        </w:rPr>
      </w:pPr>
      <w:r>
        <w:rPr>
          <w:b/>
          <w:bCs/>
          <w:sz w:val="18"/>
          <w:szCs w:val="18"/>
        </w:rPr>
        <w:br w:type="page"/>
      </w:r>
    </w:p>
    <w:p w14:paraId="0FBC628A" w14:textId="77777777" w:rsidR="00ED7ACC" w:rsidRDefault="00ED7ACC">
      <w:pPr>
        <w:pStyle w:val="PITextkrper"/>
        <w:rPr>
          <w:b/>
          <w:bCs/>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D7ACC" w14:paraId="5B9D5C18" w14:textId="77777777">
        <w:trPr>
          <w:trHeight w:val="1701"/>
        </w:trPr>
        <w:tc>
          <w:tcPr>
            <w:tcW w:w="3510" w:type="dxa"/>
          </w:tcPr>
          <w:p w14:paraId="1FF24331" w14:textId="05902A17" w:rsidR="00ED7ACC" w:rsidRDefault="00CE2A46">
            <w:pPr>
              <w:pStyle w:val="txt"/>
              <w:rPr>
                <w:b/>
                <w:bCs/>
                <w:sz w:val="18"/>
              </w:rPr>
            </w:pPr>
            <w:r>
              <w:rPr>
                <w:b/>
              </w:rPr>
              <w:br/>
            </w:r>
            <w:r w:rsidR="00325AA1">
              <w:rPr>
                <w:noProof/>
              </w:rPr>
              <w:drawing>
                <wp:inline distT="0" distB="0" distL="0" distR="0" wp14:anchorId="06AB60F1" wp14:editId="77B2B3F2">
                  <wp:extent cx="2139950" cy="999490"/>
                  <wp:effectExtent l="0" t="0" r="0" b="0"/>
                  <wp:docPr id="15870835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sidRPr="005070FE">
              <w:rPr>
                <w:sz w:val="16"/>
                <w:szCs w:val="16"/>
              </w:rPr>
              <w:t>Source</w:t>
            </w:r>
            <w:r w:rsidRPr="005070FE">
              <w:rPr>
                <w:sz w:val="16"/>
                <w:szCs w:val="16"/>
              </w:rPr>
              <w:t> : Würth Elektronik</w:t>
            </w:r>
            <w:r>
              <w:rPr>
                <w:sz w:val="16"/>
              </w:rPr>
              <w:t xml:space="preserve"> </w:t>
            </w:r>
          </w:p>
          <w:p w14:paraId="2C0875D6" w14:textId="576D3163" w:rsidR="00ED7ACC" w:rsidRDefault="00CE2A46">
            <w:pPr>
              <w:autoSpaceDE w:val="0"/>
              <w:autoSpaceDN w:val="0"/>
              <w:adjustRightInd w:val="0"/>
              <w:rPr>
                <w:rFonts w:ascii="Arial" w:hAnsi="Arial" w:cs="Arial"/>
                <w:b/>
                <w:bCs/>
                <w:sz w:val="18"/>
                <w:szCs w:val="18"/>
              </w:rPr>
            </w:pPr>
            <w:r>
              <w:rPr>
                <w:rFonts w:ascii="Arial" w:hAnsi="Arial"/>
                <w:b/>
                <w:sz w:val="18"/>
              </w:rPr>
              <w:t xml:space="preserve">Toutes les informations en un coup d’œil : </w:t>
            </w:r>
            <w:r w:rsidR="005070FE" w:rsidRPr="005070FE">
              <w:rPr>
                <w:rFonts w:ascii="Arial" w:hAnsi="Arial"/>
                <w:b/>
                <w:sz w:val="18"/>
              </w:rPr>
              <w:t>en plus de la description du circuit intégré et de l'application, les pages de conception de référence comportent une nomenclature interactive avec un lien vers la plateforme de simulation REDEXPERT.</w:t>
            </w:r>
            <w:r>
              <w:rPr>
                <w:rFonts w:ascii="Arial" w:hAnsi="Arial"/>
                <w:b/>
                <w:sz w:val="18"/>
              </w:rPr>
              <w:br/>
            </w:r>
          </w:p>
        </w:tc>
      </w:tr>
    </w:tbl>
    <w:p w14:paraId="3EE2FE41" w14:textId="77777777" w:rsidR="00ED7ACC" w:rsidRDefault="00ED7ACC">
      <w:pPr>
        <w:pStyle w:val="PITextkrper"/>
        <w:rPr>
          <w:b/>
          <w:bCs/>
          <w:sz w:val="18"/>
          <w:szCs w:val="18"/>
        </w:rPr>
      </w:pPr>
    </w:p>
    <w:p w14:paraId="48785BC9" w14:textId="77777777" w:rsidR="00325AA1" w:rsidRPr="0023476F" w:rsidRDefault="00325AA1" w:rsidP="00325AA1">
      <w:pPr>
        <w:pStyle w:val="Textkrper"/>
        <w:spacing w:before="120" w:after="120" w:line="260" w:lineRule="exact"/>
        <w:jc w:val="both"/>
        <w:rPr>
          <w:rFonts w:ascii="Arial" w:hAnsi="Arial"/>
          <w:b w:val="0"/>
          <w:bCs w:val="0"/>
        </w:rPr>
      </w:pPr>
      <w:bookmarkStart w:id="1" w:name="_Hlk142468663"/>
    </w:p>
    <w:p w14:paraId="4C661798" w14:textId="77777777" w:rsidR="00325AA1" w:rsidRPr="0023476F" w:rsidRDefault="00325AA1" w:rsidP="00325AA1">
      <w:pPr>
        <w:pStyle w:val="PITextkrper"/>
        <w:pBdr>
          <w:top w:val="single" w:sz="4" w:space="1" w:color="auto"/>
        </w:pBdr>
        <w:spacing w:before="240"/>
        <w:rPr>
          <w:b/>
          <w:sz w:val="18"/>
          <w:szCs w:val="18"/>
        </w:rPr>
      </w:pPr>
    </w:p>
    <w:p w14:paraId="03A3F970" w14:textId="77777777" w:rsidR="00325AA1" w:rsidRPr="0023476F" w:rsidRDefault="00325AA1" w:rsidP="00325AA1">
      <w:pPr>
        <w:pStyle w:val="Textkrper"/>
        <w:spacing w:before="120" w:after="120" w:line="276" w:lineRule="auto"/>
        <w:rPr>
          <w:rFonts w:ascii="Arial" w:hAnsi="Arial"/>
        </w:rPr>
      </w:pPr>
      <w:r w:rsidRPr="0023476F">
        <w:rPr>
          <w:rFonts w:ascii="Arial" w:hAnsi="Arial"/>
        </w:rPr>
        <w:t xml:space="preserve">À propos du groupe Würth Elektronik eiSos </w:t>
      </w:r>
    </w:p>
    <w:p w14:paraId="44A501A6" w14:textId="77777777" w:rsidR="00325AA1" w:rsidRDefault="00325AA1" w:rsidP="00325AA1">
      <w:pPr>
        <w:pStyle w:val="Textkrper"/>
        <w:spacing w:before="120" w:after="120" w:line="276" w:lineRule="auto"/>
        <w:jc w:val="both"/>
        <w:rPr>
          <w:rFonts w:ascii="Arial" w:hAnsi="Arial"/>
          <w:b w:val="0"/>
        </w:rPr>
      </w:pPr>
      <w:bookmarkStart w:id="2" w:name="_Hlk529547556"/>
      <w:r w:rsidRPr="003645BB">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2"/>
      <w:r w:rsidRPr="003645BB">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w:t>
      </w:r>
    </w:p>
    <w:p w14:paraId="093D0D7B" w14:textId="77777777" w:rsidR="00325AA1" w:rsidRPr="00A26AEA" w:rsidRDefault="00325AA1" w:rsidP="00325AA1">
      <w:pPr>
        <w:pStyle w:val="Textkrper"/>
        <w:spacing w:before="120" w:after="120" w:line="276" w:lineRule="auto"/>
        <w:jc w:val="both"/>
        <w:rPr>
          <w:rFonts w:ascii="Arial" w:hAnsi="Arial"/>
          <w:b w:val="0"/>
        </w:rPr>
      </w:pPr>
      <w:r w:rsidRPr="00A26AEA">
        <w:rPr>
          <w:rFonts w:ascii="Arial" w:hAnsi="Arial"/>
          <w:b w:val="0"/>
        </w:rPr>
        <w:t>La gamme de produits comprend des composants passifs, des modules de puissance, des isolateurs numériques, des composants optoélectroniques, des composants électromécaniques, des solutions de gestion thermique, des capteurs et des modules sans fil. Le portefeuille est complété par des solutions spécifiques aux clients.</w:t>
      </w:r>
    </w:p>
    <w:p w14:paraId="063AE8CD" w14:textId="77777777" w:rsidR="00325AA1" w:rsidRPr="00A26AEA" w:rsidRDefault="00325AA1" w:rsidP="00325AA1">
      <w:pPr>
        <w:pStyle w:val="Textkrper"/>
        <w:spacing w:before="120" w:after="120" w:line="276" w:lineRule="auto"/>
        <w:jc w:val="both"/>
        <w:rPr>
          <w:rFonts w:ascii="Arial" w:hAnsi="Arial"/>
          <w:b w:val="0"/>
        </w:rPr>
      </w:pPr>
      <w:r w:rsidRPr="00A26AEA">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1D01AE08" w14:textId="77777777" w:rsidR="00325AA1" w:rsidRDefault="00325AA1" w:rsidP="00325AA1">
      <w:pPr>
        <w:pStyle w:val="Textkrper"/>
        <w:spacing w:before="120" w:after="120" w:line="276" w:lineRule="auto"/>
        <w:jc w:val="both"/>
        <w:rPr>
          <w:rFonts w:ascii="Arial" w:hAnsi="Arial"/>
          <w:b w:val="0"/>
        </w:rPr>
      </w:pPr>
      <w:r w:rsidRPr="00A26AEA">
        <w:rPr>
          <w:rFonts w:ascii="Arial" w:hAnsi="Arial"/>
          <w:b w:val="0"/>
        </w:rPr>
        <w:t>Würth Elektronik fait partie du groupe Würth, leader mondial sur le marché des techniques d'assemblage et de fixation, et emploie environ 7500 personnes. La société Würth Elektronik Group a réalisé un chiffre d'affaires de 1 milliard d’euros (tous les chiffres sont basés sur les résultats préliminaires pour 2024).</w:t>
      </w:r>
    </w:p>
    <w:p w14:paraId="647E2D2A" w14:textId="77777777" w:rsidR="00325AA1" w:rsidRPr="0023476F" w:rsidRDefault="00325AA1" w:rsidP="00325AA1">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5797904E" w14:textId="77777777" w:rsidR="00325AA1" w:rsidRPr="0023476F" w:rsidRDefault="00325AA1" w:rsidP="00325AA1">
      <w:pPr>
        <w:pStyle w:val="Textkrper"/>
        <w:spacing w:before="120" w:after="120" w:line="276" w:lineRule="auto"/>
      </w:pPr>
      <w:r w:rsidRPr="0023476F">
        <w:rPr>
          <w:rFonts w:ascii="Arial" w:hAnsi="Arial"/>
        </w:rPr>
        <w:t>Plus amples informations sur le site www.we-online.com</w:t>
      </w:r>
    </w:p>
    <w:p w14:paraId="21E84E9C" w14:textId="77777777" w:rsidR="00325AA1" w:rsidRDefault="00325AA1">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25AA1" w:rsidRPr="0023476F" w14:paraId="1CB28AC9" w14:textId="77777777" w:rsidTr="001558CD">
        <w:tc>
          <w:tcPr>
            <w:tcW w:w="3902" w:type="dxa"/>
            <w:shd w:val="clear" w:color="auto" w:fill="auto"/>
            <w:hideMark/>
          </w:tcPr>
          <w:p w14:paraId="6C87D753" w14:textId="4D611ED2" w:rsidR="00325AA1" w:rsidRPr="0023476F" w:rsidRDefault="00325AA1" w:rsidP="001558CD">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325C86EF" w14:textId="77777777" w:rsidR="00325AA1" w:rsidRPr="0023476F" w:rsidRDefault="00325AA1" w:rsidP="001558CD">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22B15B5D" w14:textId="77777777" w:rsidR="00325AA1" w:rsidRPr="0023476F" w:rsidRDefault="00325AA1" w:rsidP="001558CD">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90ABEC7" w14:textId="77777777" w:rsidR="00325AA1" w:rsidRPr="0023476F" w:rsidRDefault="00325AA1" w:rsidP="001558CD">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7C459069" w14:textId="77777777" w:rsidR="00325AA1" w:rsidRPr="0023476F" w:rsidRDefault="00325AA1" w:rsidP="001558CD">
            <w:pPr>
              <w:spacing w:before="120" w:after="120" w:line="276" w:lineRule="auto"/>
              <w:rPr>
                <w:rFonts w:ascii="Arial" w:hAnsi="Arial" w:cs="Arial"/>
                <w:bCs/>
                <w:sz w:val="20"/>
              </w:rPr>
            </w:pPr>
            <w:r w:rsidRPr="0023476F">
              <w:rPr>
                <w:rFonts w:ascii="Arial" w:hAnsi="Arial" w:cs="Arial"/>
                <w:bCs/>
                <w:sz w:val="20"/>
              </w:rPr>
              <w:t>www.we-online.com</w:t>
            </w:r>
          </w:p>
          <w:p w14:paraId="13C20E39" w14:textId="77777777" w:rsidR="00325AA1" w:rsidRPr="0023476F" w:rsidRDefault="00325AA1" w:rsidP="001558CD">
            <w:pPr>
              <w:rPr>
                <w:rFonts w:ascii="Arial" w:hAnsi="Arial" w:cs="Arial"/>
                <w:sz w:val="20"/>
              </w:rPr>
            </w:pPr>
          </w:p>
          <w:p w14:paraId="16A860C6" w14:textId="77777777" w:rsidR="00325AA1" w:rsidRPr="0023476F" w:rsidRDefault="00325AA1" w:rsidP="001558CD">
            <w:pPr>
              <w:rPr>
                <w:rFonts w:ascii="Arial" w:hAnsi="Arial" w:cs="Arial"/>
                <w:sz w:val="20"/>
              </w:rPr>
            </w:pPr>
          </w:p>
        </w:tc>
        <w:tc>
          <w:tcPr>
            <w:tcW w:w="3193" w:type="dxa"/>
            <w:shd w:val="clear" w:color="auto" w:fill="auto"/>
            <w:hideMark/>
          </w:tcPr>
          <w:p w14:paraId="54954B05" w14:textId="77777777" w:rsidR="00325AA1" w:rsidRPr="0023476F" w:rsidRDefault="00325AA1" w:rsidP="001558CD">
            <w:pPr>
              <w:pStyle w:val="Textkrper"/>
              <w:tabs>
                <w:tab w:val="left" w:pos="1065"/>
              </w:tabs>
              <w:autoSpaceDE/>
              <w:adjustRightInd/>
              <w:spacing w:before="120" w:after="120" w:line="276" w:lineRule="auto"/>
              <w:rPr>
                <w:rFonts w:ascii="Arial" w:hAnsi="Arial"/>
              </w:rPr>
            </w:pPr>
          </w:p>
          <w:p w14:paraId="7E6BD667" w14:textId="77777777" w:rsidR="00325AA1" w:rsidRPr="0023476F" w:rsidRDefault="00325AA1" w:rsidP="001558CD">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0A0D3A96" w14:textId="77777777" w:rsidR="00325AA1" w:rsidRPr="0023476F" w:rsidRDefault="00325AA1" w:rsidP="001558CD">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388D4810" w14:textId="77777777" w:rsidR="00325AA1" w:rsidRPr="0023476F" w:rsidRDefault="00325AA1" w:rsidP="001558CD">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F1250CD" w14:textId="77777777" w:rsidR="00325AA1" w:rsidRPr="0023476F" w:rsidRDefault="00325AA1" w:rsidP="001558CD">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1"/>
    </w:tbl>
    <w:p w14:paraId="424ED5E7" w14:textId="77777777" w:rsidR="00ED7ACC" w:rsidRDefault="00ED7ACC" w:rsidP="00325AA1">
      <w:pPr>
        <w:pStyle w:val="PITextkrper"/>
        <w:rPr>
          <w:b/>
          <w:sz w:val="18"/>
          <w:szCs w:val="18"/>
        </w:rPr>
      </w:pPr>
    </w:p>
    <w:sectPr w:rsidR="00ED7ACC">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32D5" w14:textId="77777777" w:rsidR="00BD5010" w:rsidRDefault="00BD5010">
      <w:r>
        <w:separator/>
      </w:r>
    </w:p>
  </w:endnote>
  <w:endnote w:type="continuationSeparator" w:id="0">
    <w:p w14:paraId="510BD838" w14:textId="77777777" w:rsidR="00BD5010" w:rsidRDefault="00BD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73D7" w14:textId="030C329F" w:rsidR="00ED7ACC" w:rsidRDefault="00CE2A4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WTH1PI1617</w:t>
    </w:r>
    <w:r w:rsidR="00325AA1">
      <w:rPr>
        <w:rFonts w:ascii="Arial" w:hAnsi="Arial" w:cs="Arial"/>
        <w:snapToGrid w:val="0"/>
        <w:sz w:val="16"/>
      </w:rPr>
      <w:t>_fr</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90032" w14:textId="77777777" w:rsidR="00BD5010" w:rsidRDefault="00BD5010">
      <w:r>
        <w:separator/>
      </w:r>
    </w:p>
  </w:footnote>
  <w:footnote w:type="continuationSeparator" w:id="0">
    <w:p w14:paraId="78705FF0" w14:textId="77777777" w:rsidR="00BD5010" w:rsidRDefault="00BD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887B" w14:textId="77777777" w:rsidR="00ED7ACC" w:rsidRDefault="00CE2A46">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792D85F6" wp14:editId="6279327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155472">
    <w:abstractNumId w:val="4"/>
  </w:num>
  <w:num w:numId="2" w16cid:durableId="513156652">
    <w:abstractNumId w:val="1"/>
  </w:num>
  <w:num w:numId="3" w16cid:durableId="1696274514">
    <w:abstractNumId w:val="2"/>
  </w:num>
  <w:num w:numId="4" w16cid:durableId="958876751">
    <w:abstractNumId w:val="3"/>
  </w:num>
  <w:num w:numId="5" w16cid:durableId="1501651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CC"/>
    <w:rsid w:val="000813FB"/>
    <w:rsid w:val="001A349E"/>
    <w:rsid w:val="001D4361"/>
    <w:rsid w:val="00325AA1"/>
    <w:rsid w:val="003D2A1A"/>
    <w:rsid w:val="005070FE"/>
    <w:rsid w:val="006B49CA"/>
    <w:rsid w:val="00A120BE"/>
    <w:rsid w:val="00BD5010"/>
    <w:rsid w:val="00C1668D"/>
    <w:rsid w:val="00CE2A46"/>
    <w:rsid w:val="00ED7ACC"/>
    <w:rsid w:val="00FB79D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A49B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Mentionnonrsolue1">
    <w:name w:val="Mention non résolue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340">
      <w:bodyDiv w:val="1"/>
      <w:marLeft w:val="0"/>
      <w:marRight w:val="0"/>
      <w:marTop w:val="0"/>
      <w:marBottom w:val="0"/>
      <w:divBdr>
        <w:top w:val="none" w:sz="0" w:space="0" w:color="auto"/>
        <w:left w:val="none" w:sz="0" w:space="0" w:color="auto"/>
        <w:bottom w:val="none" w:sz="0" w:space="0" w:color="auto"/>
        <w:right w:val="none" w:sz="0" w:space="0" w:color="auto"/>
      </w:divBdr>
    </w:div>
    <w:div w:id="131094491">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2.xml><?xml version="1.0" encoding="utf-8"?>
<ds:datastoreItem xmlns:ds="http://schemas.openxmlformats.org/officeDocument/2006/customXml" ds:itemID="{CB8FFA39-81A4-42BC-96EE-E885C69CB9F4}">
  <ds:schemaRefs>
    <ds:schemaRef ds:uri="http://schemas.openxmlformats.org/officeDocument/2006/bibliography"/>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5423</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6246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2025-03-20T09:27:00Z</dcterms:created>
  <dcterms:modified xsi:type="dcterms:W3CDTF">2025-03-20T09:32:00Z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