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A0288" w14:textId="77777777" w:rsidR="005012E0" w:rsidRPr="005329CE" w:rsidRDefault="003661E2">
      <w:pPr>
        <w:pStyle w:val="berschrift1"/>
        <w:spacing w:before="720" w:after="720" w:line="260" w:lineRule="exact"/>
        <w:rPr>
          <w:sz w:val="20"/>
          <w:lang w:val="pt-PT"/>
        </w:rPr>
      </w:pPr>
      <w:r w:rsidRPr="005329CE">
        <w:rPr>
          <w:sz w:val="20"/>
          <w:lang w:val="pt-PT"/>
        </w:rPr>
        <w:t>COMUNICADO DE PRENSA</w:t>
      </w:r>
    </w:p>
    <w:p w14:paraId="24A009C7" w14:textId="53EA54A4" w:rsidR="005012E0" w:rsidRPr="005329CE" w:rsidRDefault="003661E2">
      <w:pPr>
        <w:pStyle w:val="Kopfzeile"/>
        <w:tabs>
          <w:tab w:val="clear" w:pos="4536"/>
          <w:tab w:val="clear" w:pos="9072"/>
        </w:tabs>
        <w:spacing w:before="120" w:after="120" w:line="360" w:lineRule="exact"/>
        <w:outlineLvl w:val="0"/>
        <w:rPr>
          <w:rFonts w:ascii="Arial" w:hAnsi="Arial" w:cs="Arial"/>
          <w:b/>
          <w:bCs/>
          <w:lang w:val="pt-PT"/>
        </w:rPr>
      </w:pPr>
      <w:r w:rsidRPr="005329CE">
        <w:rPr>
          <w:rFonts w:ascii="Arial" w:hAnsi="Arial"/>
          <w:b/>
          <w:lang w:val="pt-PT"/>
        </w:rPr>
        <w:t xml:space="preserve">Würth Elektronik presenta </w:t>
      </w:r>
      <w:r w:rsidRPr="005329CE">
        <w:rPr>
          <w:rFonts w:ascii="Arial" w:hAnsi="Arial"/>
          <w:b/>
          <w:lang w:val="pt-PT"/>
        </w:rPr>
        <w:t>ICL</w:t>
      </w:r>
      <w:r w:rsidR="005329CE">
        <w:rPr>
          <w:rFonts w:ascii="Arial" w:hAnsi="Arial"/>
          <w:b/>
          <w:lang w:val="pt-PT"/>
        </w:rPr>
        <w:t>ED</w:t>
      </w:r>
      <w:r w:rsidRPr="005329CE">
        <w:rPr>
          <w:rFonts w:ascii="Arial" w:hAnsi="Arial"/>
          <w:b/>
          <w:lang w:val="pt-PT"/>
        </w:rPr>
        <w:t xml:space="preserve">s </w:t>
      </w:r>
      <w:r w:rsidRPr="005329CE">
        <w:rPr>
          <w:rFonts w:ascii="Arial" w:hAnsi="Arial"/>
          <w:b/>
          <w:lang w:val="pt-PT"/>
        </w:rPr>
        <w:t>Dual-Wire</w:t>
      </w:r>
    </w:p>
    <w:p w14:paraId="2AA3E033" w14:textId="77777777" w:rsidR="005012E0" w:rsidRDefault="003661E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Sencillo de integrar, rápida respuesta</w:t>
      </w:r>
    </w:p>
    <w:p w14:paraId="6BDCD440" w14:textId="413A7D7C" w:rsidR="005012E0" w:rsidRDefault="003661E2">
      <w:pPr>
        <w:pStyle w:val="Textkrper"/>
        <w:spacing w:before="120" w:after="120" w:line="260" w:lineRule="exact"/>
        <w:jc w:val="both"/>
        <w:rPr>
          <w:rFonts w:ascii="Arial" w:hAnsi="Arial"/>
          <w:color w:val="000000"/>
        </w:rPr>
      </w:pPr>
      <w:r>
        <w:rPr>
          <w:rFonts w:ascii="Arial" w:hAnsi="Arial"/>
          <w:color w:val="000000"/>
        </w:rPr>
        <w:t>Waldenburg</w:t>
      </w:r>
      <w:r w:rsidR="0074432E">
        <w:rPr>
          <w:rFonts w:ascii="Arial" w:hAnsi="Arial"/>
          <w:color w:val="000000"/>
        </w:rPr>
        <w:t xml:space="preserve"> (</w:t>
      </w:r>
      <w:r w:rsidR="00715F4A">
        <w:rPr>
          <w:rFonts w:ascii="Arial" w:hAnsi="Arial"/>
          <w:color w:val="000000"/>
        </w:rPr>
        <w:t>Alemania</w:t>
      </w:r>
      <w:r w:rsidR="0074432E">
        <w:rPr>
          <w:rFonts w:ascii="Arial" w:hAnsi="Arial"/>
          <w:color w:val="000000"/>
        </w:rPr>
        <w:t>)</w:t>
      </w:r>
      <w:r>
        <w:rPr>
          <w:rFonts w:ascii="Arial" w:hAnsi="Arial"/>
          <w:color w:val="000000"/>
        </w:rPr>
        <w:t xml:space="preserve">, </w:t>
      </w:r>
      <w:r w:rsidR="000D37AB">
        <w:rPr>
          <w:rFonts w:ascii="Arial" w:hAnsi="Arial"/>
          <w:color w:val="000000"/>
        </w:rPr>
        <w:t>8</w:t>
      </w:r>
      <w:r>
        <w:rPr>
          <w:rFonts w:ascii="Arial" w:hAnsi="Arial"/>
          <w:color w:val="000000"/>
        </w:rPr>
        <w:t xml:space="preserve"> de </w:t>
      </w:r>
      <w:r w:rsidR="000D37AB">
        <w:rPr>
          <w:rFonts w:ascii="Arial" w:hAnsi="Arial"/>
          <w:color w:val="000000"/>
        </w:rPr>
        <w:t>enero</w:t>
      </w:r>
      <w:r>
        <w:rPr>
          <w:rFonts w:ascii="Arial" w:hAnsi="Arial"/>
          <w:color w:val="000000"/>
        </w:rPr>
        <w:t xml:space="preserve"> de 202</w:t>
      </w:r>
      <w:r w:rsidR="000D37AB">
        <w:rPr>
          <w:rFonts w:ascii="Arial" w:hAnsi="Arial"/>
          <w:color w:val="000000"/>
        </w:rPr>
        <w:t>5</w:t>
      </w:r>
      <w:r>
        <w:rPr>
          <w:rFonts w:ascii="Arial" w:hAnsi="Arial"/>
          <w:color w:val="000000"/>
        </w:rPr>
        <w:t xml:space="preserve"> – Würth Elektronik amplía </w:t>
      </w:r>
      <w:r>
        <w:rPr>
          <w:rFonts w:ascii="Arial" w:hAnsi="Arial"/>
          <w:color w:val="000000"/>
        </w:rPr>
        <w:t>la familia</w:t>
      </w:r>
      <w:r>
        <w:rPr>
          <w:rFonts w:ascii="Arial" w:hAnsi="Arial"/>
          <w:color w:val="000000"/>
        </w:rPr>
        <w:t xml:space="preserve"> </w:t>
      </w:r>
      <w:hyperlink r:id="rId8" w:history="1">
        <w:r>
          <w:rPr>
            <w:rStyle w:val="Hyperlink"/>
            <w:rFonts w:ascii="Arial" w:hAnsi="Arial"/>
          </w:rPr>
          <w:t>WL-ICL</w:t>
        </w:r>
        <w:r>
          <w:rPr>
            <w:rStyle w:val="Hyperlink"/>
            <w:rFonts w:ascii="Arial" w:hAnsi="Arial"/>
          </w:rPr>
          <w:t>E</w:t>
        </w:r>
        <w:r>
          <w:rPr>
            <w:rStyle w:val="Hyperlink"/>
            <w:rFonts w:ascii="Arial" w:hAnsi="Arial"/>
          </w:rPr>
          <w:t>D</w:t>
        </w:r>
      </w:hyperlink>
      <w:r>
        <w:rPr>
          <w:rFonts w:ascii="Arial" w:hAnsi="Arial"/>
          <w:color w:val="000000"/>
        </w:rPr>
        <w:t xml:space="preserve"> – </w:t>
      </w:r>
      <w:r>
        <w:rPr>
          <w:rFonts w:ascii="Arial" w:hAnsi="Arial"/>
          <w:color w:val="000000"/>
        </w:rPr>
        <w:t>L</w:t>
      </w:r>
      <w:r w:rsidR="005329CE">
        <w:rPr>
          <w:rFonts w:ascii="Arial" w:hAnsi="Arial"/>
          <w:color w:val="000000"/>
        </w:rPr>
        <w:t>ED</w:t>
      </w:r>
      <w:r>
        <w:rPr>
          <w:rFonts w:ascii="Arial" w:hAnsi="Arial"/>
          <w:color w:val="000000"/>
        </w:rPr>
        <w:t xml:space="preserve"> </w:t>
      </w:r>
      <w:r>
        <w:rPr>
          <w:rFonts w:ascii="Arial" w:hAnsi="Arial"/>
          <w:color w:val="000000"/>
        </w:rPr>
        <w:t>RGB</w:t>
      </w:r>
      <w:r>
        <w:rPr>
          <w:rFonts w:ascii="Arial" w:hAnsi="Arial"/>
          <w:color w:val="000000"/>
        </w:rPr>
        <w:t xml:space="preserve"> con controlador integrado</w:t>
      </w:r>
      <w:r>
        <w:rPr>
          <w:rFonts w:ascii="Arial" w:hAnsi="Arial"/>
          <w:color w:val="000000"/>
        </w:rPr>
        <w:t xml:space="preserve"> –</w:t>
      </w:r>
      <w:r>
        <w:rPr>
          <w:rFonts w:ascii="Arial" w:hAnsi="Arial"/>
          <w:color w:val="000000"/>
        </w:rPr>
        <w:t xml:space="preserve"> </w:t>
      </w:r>
      <w:r>
        <w:rPr>
          <w:rFonts w:ascii="Arial" w:hAnsi="Arial"/>
          <w:color w:val="000000"/>
        </w:rPr>
        <w:t xml:space="preserve">con los </w:t>
      </w:r>
      <w:r>
        <w:rPr>
          <w:rFonts w:ascii="Arial" w:hAnsi="Arial"/>
          <w:color w:val="000000"/>
        </w:rPr>
        <w:t>ICL</w:t>
      </w:r>
      <w:r w:rsidR="005329CE">
        <w:rPr>
          <w:rFonts w:ascii="Arial" w:hAnsi="Arial"/>
          <w:color w:val="000000"/>
        </w:rPr>
        <w:t>ED</w:t>
      </w:r>
      <w:r>
        <w:rPr>
          <w:rFonts w:ascii="Arial" w:hAnsi="Arial"/>
          <w:color w:val="000000"/>
        </w:rPr>
        <w:t xml:space="preserve">s </w:t>
      </w:r>
      <w:r>
        <w:rPr>
          <w:rFonts w:ascii="Arial" w:hAnsi="Arial"/>
          <w:color w:val="000000"/>
        </w:rPr>
        <w:t>Dual-Wire</w:t>
      </w:r>
      <w:r>
        <w:rPr>
          <w:rFonts w:ascii="Arial" w:hAnsi="Arial"/>
          <w:color w:val="000000"/>
        </w:rPr>
        <w:t xml:space="preserve">. Los componentes, que pueden controlarse como píxeles, combinan tres LED: </w:t>
      </w:r>
      <w:r>
        <w:rPr>
          <w:rFonts w:ascii="Arial" w:hAnsi="Arial"/>
          <w:color w:val="000000"/>
        </w:rPr>
        <w:t xml:space="preserve">rojo, </w:t>
      </w:r>
      <w:r>
        <w:rPr>
          <w:rFonts w:ascii="Arial" w:hAnsi="Arial"/>
          <w:color w:val="000000"/>
        </w:rPr>
        <w:t xml:space="preserve">verde y </w:t>
      </w:r>
      <w:r>
        <w:rPr>
          <w:rFonts w:ascii="Arial" w:hAnsi="Arial"/>
          <w:color w:val="000000"/>
        </w:rPr>
        <w:t>azul, así como un CI preprogramado</w:t>
      </w:r>
      <w:r>
        <w:rPr>
          <w:rFonts w:ascii="Arial" w:hAnsi="Arial"/>
          <w:color w:val="000000"/>
        </w:rPr>
        <w:t xml:space="preserve"> en un solo encapsulado</w:t>
      </w:r>
      <w:r>
        <w:rPr>
          <w:rFonts w:ascii="Arial" w:hAnsi="Arial"/>
          <w:color w:val="000000"/>
        </w:rPr>
        <w:t xml:space="preserve">. Permiten una transmisión de datos hasta 13 veces más rápida en comparación con los </w:t>
      </w:r>
      <w:r>
        <w:rPr>
          <w:rFonts w:ascii="Arial" w:hAnsi="Arial"/>
          <w:color w:val="000000"/>
        </w:rPr>
        <w:t>ICL</w:t>
      </w:r>
      <w:r w:rsidR="005329CE">
        <w:rPr>
          <w:rFonts w:ascii="Arial" w:hAnsi="Arial"/>
          <w:color w:val="000000"/>
        </w:rPr>
        <w:t>ED</w:t>
      </w:r>
      <w:r>
        <w:rPr>
          <w:rFonts w:ascii="Arial" w:hAnsi="Arial"/>
          <w:color w:val="000000"/>
        </w:rPr>
        <w:t xml:space="preserve">s </w:t>
      </w:r>
      <w:r>
        <w:rPr>
          <w:rFonts w:ascii="Arial" w:hAnsi="Arial"/>
          <w:color w:val="000000"/>
        </w:rPr>
        <w:t>Single-Wire</w:t>
      </w:r>
      <w:r>
        <w:rPr>
          <w:rFonts w:ascii="Arial" w:hAnsi="Arial"/>
          <w:color w:val="000000"/>
        </w:rPr>
        <w:t xml:space="preserve">. Los </w:t>
      </w:r>
      <w:r>
        <w:rPr>
          <w:rFonts w:ascii="Arial" w:hAnsi="Arial"/>
          <w:color w:val="000000"/>
        </w:rPr>
        <w:t>ICL</w:t>
      </w:r>
      <w:r w:rsidR="005329CE">
        <w:rPr>
          <w:rFonts w:ascii="Arial" w:hAnsi="Arial"/>
          <w:color w:val="000000"/>
        </w:rPr>
        <w:t>ED</w:t>
      </w:r>
      <w:r>
        <w:rPr>
          <w:rFonts w:ascii="Arial" w:hAnsi="Arial"/>
          <w:color w:val="000000"/>
        </w:rPr>
        <w:t xml:space="preserve">s </w:t>
      </w:r>
      <w:r>
        <w:rPr>
          <w:rFonts w:ascii="Arial" w:hAnsi="Arial"/>
          <w:color w:val="000000"/>
        </w:rPr>
        <w:t>Dual-Wire</w:t>
      </w:r>
      <w:r>
        <w:rPr>
          <w:rFonts w:ascii="Arial" w:hAnsi="Arial"/>
          <w:color w:val="000000"/>
        </w:rPr>
        <w:t xml:space="preserve"> proporcionan un control preciso en aplicaciones LED que requieren un control individual</w:t>
      </w:r>
      <w:r>
        <w:rPr>
          <w:rFonts w:ascii="Arial" w:hAnsi="Arial"/>
          <w:color w:val="000000"/>
        </w:rPr>
        <w:t>izado</w:t>
      </w:r>
      <w:r>
        <w:rPr>
          <w:rFonts w:ascii="Arial" w:hAnsi="Arial"/>
          <w:color w:val="000000"/>
        </w:rPr>
        <w:t xml:space="preserve"> del color y el brillo, lo que simplifica enormemente </w:t>
      </w:r>
      <w:r>
        <w:rPr>
          <w:rFonts w:ascii="Arial" w:hAnsi="Arial"/>
          <w:color w:val="000000"/>
        </w:rPr>
        <w:t>e</w:t>
      </w:r>
      <w:r>
        <w:rPr>
          <w:rFonts w:ascii="Arial" w:hAnsi="Arial"/>
          <w:color w:val="000000"/>
        </w:rPr>
        <w:t>l</w:t>
      </w:r>
      <w:r>
        <w:rPr>
          <w:rFonts w:ascii="Arial" w:hAnsi="Arial"/>
          <w:color w:val="000000"/>
        </w:rPr>
        <w:t xml:space="preserve"> cableado. Un modo de reposo integrado los hace aún más eficientes en cuanto a consumo de energía.</w:t>
      </w:r>
    </w:p>
    <w:p w14:paraId="11C77F48" w14:textId="330F5CC0" w:rsidR="005012E0" w:rsidRDefault="003661E2">
      <w:pPr>
        <w:pStyle w:val="Textkrper"/>
        <w:spacing w:before="120" w:after="120" w:line="260" w:lineRule="exact"/>
        <w:jc w:val="both"/>
        <w:rPr>
          <w:rFonts w:ascii="Arial" w:hAnsi="Arial"/>
          <w:b w:val="0"/>
          <w:bCs w:val="0"/>
          <w:color w:val="000000"/>
        </w:rPr>
      </w:pPr>
      <w:r>
        <w:rPr>
          <w:rFonts w:ascii="Arial" w:hAnsi="Arial"/>
          <w:b w:val="0"/>
          <w:color w:val="000000"/>
        </w:rPr>
        <w:t xml:space="preserve">Los LED inteligentes </w:t>
      </w:r>
      <w:r>
        <w:rPr>
          <w:rFonts w:ascii="Arial" w:hAnsi="Arial"/>
          <w:b w:val="0"/>
          <w:color w:val="000000"/>
        </w:rPr>
        <w:t xml:space="preserve">pueden </w:t>
      </w:r>
      <w:r>
        <w:rPr>
          <w:rFonts w:ascii="Arial" w:hAnsi="Arial"/>
          <w:b w:val="0"/>
          <w:color w:val="000000"/>
        </w:rPr>
        <w:t>ajustar</w:t>
      </w:r>
      <w:r>
        <w:rPr>
          <w:rFonts w:ascii="Arial" w:hAnsi="Arial"/>
          <w:b w:val="0"/>
          <w:color w:val="000000"/>
        </w:rPr>
        <w:t xml:space="preserve"> </w:t>
      </w:r>
      <w:r>
        <w:rPr>
          <w:rFonts w:ascii="Arial" w:hAnsi="Arial"/>
          <w:b w:val="0"/>
          <w:color w:val="000000"/>
        </w:rPr>
        <w:t>independiente</w:t>
      </w:r>
      <w:r>
        <w:rPr>
          <w:rFonts w:ascii="Arial" w:hAnsi="Arial"/>
          <w:b w:val="0"/>
          <w:color w:val="000000"/>
        </w:rPr>
        <w:t>mente</w:t>
      </w:r>
      <w:r>
        <w:rPr>
          <w:rFonts w:ascii="Arial" w:hAnsi="Arial"/>
          <w:b w:val="0"/>
          <w:color w:val="000000"/>
        </w:rPr>
        <w:t xml:space="preserve"> </w:t>
      </w:r>
      <w:r>
        <w:rPr>
          <w:rFonts w:ascii="Arial" w:hAnsi="Arial"/>
          <w:b w:val="0"/>
          <w:color w:val="000000"/>
        </w:rPr>
        <w:t xml:space="preserve">el color del píxel en todo el espectro RGB y </w:t>
      </w:r>
      <w:r>
        <w:rPr>
          <w:rFonts w:ascii="Arial" w:hAnsi="Arial"/>
          <w:b w:val="0"/>
          <w:color w:val="000000"/>
        </w:rPr>
        <w:t>el brillo es</w:t>
      </w:r>
      <w:r>
        <w:rPr>
          <w:rFonts w:ascii="Arial" w:hAnsi="Arial"/>
          <w:b w:val="0"/>
          <w:color w:val="000000"/>
        </w:rPr>
        <w:t xml:space="preserve"> a</w:t>
      </w:r>
      <w:r>
        <w:rPr>
          <w:rFonts w:ascii="Arial" w:hAnsi="Arial"/>
          <w:b w:val="0"/>
          <w:color w:val="000000"/>
        </w:rPr>
        <w:t>justable</w:t>
      </w:r>
      <w:r>
        <w:rPr>
          <w:rFonts w:ascii="Arial" w:hAnsi="Arial"/>
          <w:b w:val="0"/>
          <w:color w:val="000000"/>
        </w:rPr>
        <w:t xml:space="preserve"> </w:t>
      </w:r>
      <w:r>
        <w:rPr>
          <w:rFonts w:ascii="Arial" w:hAnsi="Arial"/>
          <w:b w:val="0"/>
          <w:color w:val="000000"/>
        </w:rPr>
        <w:t>igitalmente</w:t>
      </w:r>
      <w:r>
        <w:rPr>
          <w:rFonts w:ascii="Arial" w:hAnsi="Arial"/>
          <w:b w:val="0"/>
          <w:color w:val="000000"/>
        </w:rPr>
        <w:t xml:space="preserve"> de 0 a 100 por ciento - y con </w:t>
      </w:r>
      <w:r>
        <w:rPr>
          <w:rFonts w:ascii="Arial" w:hAnsi="Arial"/>
          <w:b w:val="0"/>
          <w:color w:val="000000"/>
        </w:rPr>
        <w:t>frecuencias</w:t>
      </w:r>
      <w:r>
        <w:rPr>
          <w:rFonts w:ascii="Arial" w:hAnsi="Arial"/>
          <w:b w:val="0"/>
          <w:color w:val="000000"/>
        </w:rPr>
        <w:t xml:space="preserve"> de</w:t>
      </w:r>
      <w:r>
        <w:rPr>
          <w:rFonts w:ascii="Arial" w:hAnsi="Arial"/>
          <w:b w:val="0"/>
          <w:color w:val="000000"/>
        </w:rPr>
        <w:t xml:space="preserve"> PWM </w:t>
      </w:r>
      <w:r>
        <w:rPr>
          <w:rFonts w:ascii="Arial" w:hAnsi="Arial"/>
          <w:b w:val="0"/>
          <w:color w:val="000000"/>
        </w:rPr>
        <w:t xml:space="preserve">de 20 kHz. Son por tanto ideales para animaciones a alta velocidad y visualizaciones sin parpadeos. Sus ámbitos de aplicación incluyen pantallas industriales y sistemas HMI, </w:t>
      </w:r>
      <w:r>
        <w:rPr>
          <w:rFonts w:ascii="Arial" w:hAnsi="Arial"/>
          <w:b w:val="0"/>
          <w:color w:val="000000"/>
        </w:rPr>
        <w:t>pantallas matriciales a todo color, sistemas de control de señales, soluciones de iluminación inteligentes y</w:t>
      </w:r>
      <w:r w:rsidR="008D2241">
        <w:rPr>
          <w:rFonts w:ascii="Arial" w:hAnsi="Arial"/>
          <w:b w:val="0"/>
          <w:color w:val="000000"/>
        </w:rPr>
        <w:t> </w:t>
      </w:r>
      <w:r>
        <w:rPr>
          <w:rFonts w:ascii="Arial" w:hAnsi="Arial"/>
          <w:b w:val="0"/>
          <w:color w:val="000000"/>
        </w:rPr>
        <w:t>decorativas o periféricos para juegos.</w:t>
      </w:r>
    </w:p>
    <w:p w14:paraId="2D6AB384" w14:textId="7852BB9D" w:rsidR="005012E0" w:rsidRDefault="003661E2">
      <w:pPr>
        <w:pStyle w:val="Textkrper"/>
        <w:spacing w:before="120" w:after="120" w:line="260" w:lineRule="exact"/>
        <w:jc w:val="both"/>
        <w:rPr>
          <w:rFonts w:ascii="Arial" w:hAnsi="Arial"/>
          <w:b w:val="0"/>
          <w:bCs w:val="0"/>
        </w:rPr>
      </w:pPr>
      <w:r>
        <w:rPr>
          <w:rFonts w:ascii="Arial" w:hAnsi="Arial"/>
          <w:b w:val="0"/>
        </w:rPr>
        <w:t xml:space="preserve">Los </w:t>
      </w:r>
      <w:r>
        <w:rPr>
          <w:rFonts w:ascii="Arial" w:hAnsi="Arial"/>
          <w:b w:val="0"/>
        </w:rPr>
        <w:t>ICL</w:t>
      </w:r>
      <w:r w:rsidR="005329CE">
        <w:rPr>
          <w:rFonts w:ascii="Arial" w:hAnsi="Arial"/>
          <w:b w:val="0"/>
        </w:rPr>
        <w:t>ED</w:t>
      </w:r>
      <w:r>
        <w:rPr>
          <w:rFonts w:ascii="Arial" w:hAnsi="Arial"/>
          <w:b w:val="0"/>
        </w:rPr>
        <w:t xml:space="preserve">s </w:t>
      </w:r>
      <w:r>
        <w:rPr>
          <w:rFonts w:ascii="Arial" w:hAnsi="Arial"/>
          <w:b w:val="0"/>
        </w:rPr>
        <w:t>Dual-Wire</w:t>
      </w:r>
      <w:r>
        <w:rPr>
          <w:rFonts w:ascii="Arial" w:hAnsi="Arial"/>
          <w:b w:val="0"/>
        </w:rPr>
        <w:t xml:space="preserve"> de Würth Elektronik no solo permiten un control preciso de los LED, sino que también ofrecen funciones innovadoras como un modo de reposo integrado que reduce el consumo de corriente a aprox. 1 µA por ICLED cuando no están en funcionamiento. De este modo se consigue una gestión significativamente más eficiente del consumo de energía, especialmente en sistemas que funcionan con baterías. Además, la frecuencia de reloj de la señal de datos se puede ajustar libremente hasta 15 MHz, lo que permite una transmis</w:t>
      </w:r>
      <w:r>
        <w:rPr>
          <w:rFonts w:ascii="Arial" w:hAnsi="Arial"/>
          <w:b w:val="0"/>
        </w:rPr>
        <w:t xml:space="preserve">ión de datos flexible y rápida. Esta combinación de bajo consumo y gran adaptabilidad hace que los </w:t>
      </w:r>
      <w:r>
        <w:rPr>
          <w:rFonts w:ascii="Arial" w:hAnsi="Arial"/>
          <w:b w:val="0"/>
        </w:rPr>
        <w:t>ICL</w:t>
      </w:r>
      <w:r w:rsidR="005329CE">
        <w:rPr>
          <w:rFonts w:ascii="Arial" w:hAnsi="Arial"/>
          <w:b w:val="0"/>
        </w:rPr>
        <w:t>ED</w:t>
      </w:r>
      <w:r>
        <w:rPr>
          <w:rFonts w:ascii="Arial" w:hAnsi="Arial"/>
          <w:b w:val="0"/>
        </w:rPr>
        <w:t>s</w:t>
      </w:r>
      <w:r>
        <w:rPr>
          <w:rFonts w:ascii="Arial" w:hAnsi="Arial"/>
          <w:b w:val="0"/>
        </w:rPr>
        <w:t xml:space="preserve"> Du</w:t>
      </w:r>
      <w:r>
        <w:rPr>
          <w:rFonts w:ascii="Arial" w:hAnsi="Arial"/>
          <w:b w:val="0"/>
        </w:rPr>
        <w:t>al-Wire</w:t>
      </w:r>
      <w:r>
        <w:rPr>
          <w:rFonts w:ascii="Arial" w:hAnsi="Arial"/>
          <w:b w:val="0"/>
        </w:rPr>
        <w:t xml:space="preserve"> resulten sumamente atractivos para las modernas aplicaciones de iluminación inteligente.</w:t>
      </w:r>
    </w:p>
    <w:p w14:paraId="717597EE" w14:textId="72C34F01" w:rsidR="005012E0" w:rsidRDefault="003661E2">
      <w:pPr>
        <w:pStyle w:val="Textkrper"/>
        <w:spacing w:before="120" w:after="120" w:line="260" w:lineRule="exact"/>
        <w:jc w:val="both"/>
        <w:rPr>
          <w:rFonts w:ascii="Arial" w:hAnsi="Arial"/>
          <w:color w:val="000000"/>
        </w:rPr>
      </w:pPr>
      <w:r>
        <w:rPr>
          <w:rFonts w:ascii="Arial" w:hAnsi="Arial"/>
          <w:b w:val="0"/>
        </w:rPr>
        <w:t xml:space="preserve">Los </w:t>
      </w:r>
      <w:r>
        <w:rPr>
          <w:rFonts w:ascii="Arial" w:hAnsi="Arial"/>
          <w:b w:val="0"/>
        </w:rPr>
        <w:t>ICL</w:t>
      </w:r>
      <w:r w:rsidR="005329CE">
        <w:rPr>
          <w:rFonts w:ascii="Arial" w:hAnsi="Arial"/>
          <w:b w:val="0"/>
        </w:rPr>
        <w:t>ED</w:t>
      </w:r>
      <w:r>
        <w:rPr>
          <w:rFonts w:ascii="Arial" w:hAnsi="Arial"/>
          <w:b w:val="0"/>
        </w:rPr>
        <w:t xml:space="preserve">s </w:t>
      </w:r>
      <w:r>
        <w:rPr>
          <w:rFonts w:ascii="Arial" w:hAnsi="Arial"/>
          <w:b w:val="0"/>
        </w:rPr>
        <w:t>Dual-Wire</w:t>
      </w:r>
      <w:r>
        <w:rPr>
          <w:rFonts w:ascii="Arial" w:hAnsi="Arial"/>
          <w:b w:val="0"/>
        </w:rPr>
        <w:t xml:space="preserve"> admiten la conexión en </w:t>
      </w:r>
      <w:r>
        <w:rPr>
          <w:rFonts w:ascii="Arial" w:hAnsi="Arial"/>
          <w:b w:val="0"/>
        </w:rPr>
        <w:t>serie</w:t>
      </w:r>
      <w:r>
        <w:rPr>
          <w:rFonts w:ascii="Arial" w:hAnsi="Arial"/>
          <w:b w:val="0"/>
        </w:rPr>
        <w:t xml:space="preserve"> de varios LED en una cadena. Se pueden hacer funcionar con tensiones de </w:t>
      </w:r>
      <w:r>
        <w:rPr>
          <w:rFonts w:ascii="Arial" w:hAnsi="Arial"/>
          <w:b w:val="0"/>
        </w:rPr>
        <w:t>alimentación</w:t>
      </w:r>
      <w:r>
        <w:rPr>
          <w:rFonts w:ascii="Arial" w:hAnsi="Arial"/>
          <w:b w:val="0"/>
        </w:rPr>
        <w:t xml:space="preserve"> de 3,3</w:t>
      </w:r>
      <w:r w:rsidR="005329CE">
        <w:rPr>
          <w:rFonts w:ascii="Arial" w:hAnsi="Arial"/>
          <w:b w:val="0"/>
        </w:rPr>
        <w:t> </w:t>
      </w:r>
      <w:r>
        <w:rPr>
          <w:rFonts w:ascii="Arial" w:hAnsi="Arial"/>
          <w:b w:val="0"/>
        </w:rPr>
        <w:t>V</w:t>
      </w:r>
      <w:r>
        <w:rPr>
          <w:rFonts w:ascii="Arial" w:hAnsi="Arial"/>
          <w:b w:val="0"/>
        </w:rPr>
        <w:t> y 5,5 V</w:t>
      </w:r>
      <w:r>
        <w:rPr>
          <w:rFonts w:ascii="Arial" w:hAnsi="Arial"/>
          <w:b w:val="0"/>
        </w:rPr>
        <w:t xml:space="preserve">. Los </w:t>
      </w:r>
      <w:r>
        <w:rPr>
          <w:rFonts w:ascii="Arial" w:hAnsi="Arial"/>
          <w:b w:val="0"/>
        </w:rPr>
        <w:t>dispositivos</w:t>
      </w:r>
      <w:r>
        <w:rPr>
          <w:rFonts w:ascii="Arial" w:hAnsi="Arial"/>
          <w:b w:val="0"/>
        </w:rPr>
        <w:t xml:space="preserve">, que están disponibles en los encapsulados 1616 (1,6 × 1,6 mm) y 5050 (5,0 × 5,0 mm), presentan </w:t>
      </w:r>
      <w:r>
        <w:rPr>
          <w:rFonts w:ascii="Arial" w:hAnsi="Arial"/>
          <w:b w:val="0"/>
        </w:rPr>
        <w:t>un layout</w:t>
      </w:r>
      <w:r>
        <w:rPr>
          <w:rFonts w:ascii="Arial" w:hAnsi="Arial"/>
          <w:b w:val="0"/>
        </w:rPr>
        <w:t xml:space="preserve"> </w:t>
      </w:r>
      <w:r>
        <w:rPr>
          <w:rFonts w:ascii="Arial" w:hAnsi="Arial"/>
          <w:b w:val="0"/>
        </w:rPr>
        <w:t xml:space="preserve">común </w:t>
      </w:r>
      <w:r>
        <w:rPr>
          <w:rFonts w:ascii="Arial" w:hAnsi="Arial"/>
          <w:b w:val="0"/>
        </w:rPr>
        <w:t>en la industria y, por lo tanto, pueden sustituir a los LED menos avanzados sin tener que realizar modificaciones en cuanto al diseño. Con MSL3 tienen un umbral de sensibilidad a la humedad ideal. Ya se pueden solicitar muestras.</w:t>
      </w:r>
    </w:p>
    <w:p w14:paraId="47528284" w14:textId="77777777" w:rsidR="005012E0" w:rsidRDefault="005012E0">
      <w:pPr>
        <w:rPr>
          <w:rFonts w:ascii="Arial" w:hAnsi="Arial"/>
        </w:rPr>
      </w:pPr>
    </w:p>
    <w:p w14:paraId="6C149661" w14:textId="0C63321E" w:rsidR="008D2241" w:rsidRDefault="008D2241">
      <w:pPr>
        <w:rPr>
          <w:rFonts w:ascii="Arial" w:hAnsi="Arial"/>
        </w:rPr>
      </w:pPr>
      <w:r>
        <w:rPr>
          <w:rFonts w:ascii="Arial" w:hAnsi="Arial"/>
        </w:rPr>
        <w:br w:type="page"/>
      </w:r>
    </w:p>
    <w:p w14:paraId="548663F1" w14:textId="77777777" w:rsidR="00715F4A" w:rsidRDefault="00715F4A">
      <w:pPr>
        <w:rPr>
          <w:rFonts w:ascii="Arial" w:hAnsi="Arial"/>
        </w:rPr>
      </w:pPr>
    </w:p>
    <w:p w14:paraId="4365E1F0" w14:textId="77777777" w:rsidR="005012E0" w:rsidRDefault="005012E0">
      <w:pPr>
        <w:pStyle w:val="PITextkrper"/>
        <w:pBdr>
          <w:top w:val="single" w:sz="4" w:space="1" w:color="auto"/>
        </w:pBdr>
        <w:spacing w:before="240"/>
        <w:rPr>
          <w:b/>
          <w:sz w:val="18"/>
          <w:szCs w:val="18"/>
          <w:lang w:val="de-DE"/>
        </w:rPr>
      </w:pPr>
    </w:p>
    <w:p w14:paraId="6AFB861F" w14:textId="77777777" w:rsidR="008D2241" w:rsidRPr="00735520" w:rsidRDefault="008D2241" w:rsidP="008D2241">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4E5536D7" w14:textId="77777777" w:rsidR="008D2241" w:rsidRPr="00735520" w:rsidRDefault="008D2241" w:rsidP="008D2241">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012E0" w14:paraId="6479DB9B" w14:textId="77777777">
        <w:trPr>
          <w:trHeight w:val="1701"/>
        </w:trPr>
        <w:tc>
          <w:tcPr>
            <w:tcW w:w="3510" w:type="dxa"/>
          </w:tcPr>
          <w:bookmarkEnd w:id="0"/>
          <w:p w14:paraId="3A15E94C" w14:textId="77777777" w:rsidR="005012E0" w:rsidRDefault="003661E2">
            <w:pPr>
              <w:pStyle w:val="txt"/>
              <w:rPr>
                <w:b/>
                <w:bCs/>
                <w:color w:val="auto"/>
                <w:sz w:val="18"/>
              </w:rPr>
            </w:pPr>
            <w:r>
              <w:rPr>
                <w:b/>
                <w:color w:val="auto"/>
              </w:rPr>
              <w:br/>
            </w:r>
            <w:r>
              <w:rPr>
                <w:noProof/>
                <w:lang w:eastAsia="zh-TW"/>
              </w:rPr>
              <w:drawing>
                <wp:inline distT="0" distB="0" distL="0" distR="0" wp14:anchorId="543F4B31" wp14:editId="1B347AC2">
                  <wp:extent cx="2117245" cy="1627200"/>
                  <wp:effectExtent l="0" t="0" r="0" b="0"/>
                  <wp:docPr id="8463867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117245" cy="1627200"/>
                          </a:xfrm>
                          <a:prstGeom prst="rect">
                            <a:avLst/>
                          </a:prstGeom>
                          <a:noFill/>
                          <a:ln>
                            <a:noFill/>
                          </a:ln>
                          <a:extLst>
                            <a:ext uri="{53640926-AAD7-44D8-BBD7-CCE9431645EC}">
                              <a14:shadowObscured xmlns:a14="http://schemas.microsoft.com/office/drawing/2010/main"/>
                            </a:ext>
                          </a:extLst>
                        </pic:spPr>
                      </pic:pic>
                    </a:graphicData>
                  </a:graphic>
                </wp:inline>
              </w:drawing>
            </w:r>
            <w:r>
              <w:rPr>
                <w:color w:val="auto"/>
                <w:sz w:val="16"/>
              </w:rPr>
              <w:t xml:space="preserve">Fuente de la imagen: Würth Elektronik </w:t>
            </w:r>
          </w:p>
          <w:p w14:paraId="75A3CF30" w14:textId="32445087" w:rsidR="005012E0" w:rsidRDefault="003661E2">
            <w:pPr>
              <w:autoSpaceDE w:val="0"/>
              <w:autoSpaceDN w:val="0"/>
              <w:adjustRightInd w:val="0"/>
              <w:rPr>
                <w:rFonts w:ascii="Arial" w:hAnsi="Arial" w:cs="Arial"/>
                <w:b/>
                <w:bCs/>
                <w:sz w:val="18"/>
                <w:szCs w:val="18"/>
              </w:rPr>
            </w:pPr>
            <w:r>
              <w:rPr>
                <w:rFonts w:ascii="Arial" w:hAnsi="Arial"/>
                <w:b/>
                <w:sz w:val="18"/>
              </w:rPr>
              <w:t xml:space="preserve">Los nuevos </w:t>
            </w:r>
            <w:r>
              <w:rPr>
                <w:rFonts w:ascii="Arial" w:hAnsi="Arial"/>
                <w:b/>
                <w:sz w:val="18"/>
              </w:rPr>
              <w:t>ICL</w:t>
            </w:r>
            <w:r w:rsidR="005329CE">
              <w:rPr>
                <w:rFonts w:ascii="Arial" w:hAnsi="Arial"/>
                <w:b/>
                <w:sz w:val="18"/>
              </w:rPr>
              <w:t>ED</w:t>
            </w:r>
            <w:r>
              <w:rPr>
                <w:rFonts w:ascii="Arial" w:hAnsi="Arial"/>
                <w:b/>
                <w:sz w:val="18"/>
              </w:rPr>
              <w:t xml:space="preserve">s </w:t>
            </w:r>
            <w:r>
              <w:rPr>
                <w:rFonts w:ascii="Arial" w:hAnsi="Arial"/>
                <w:b/>
                <w:sz w:val="18"/>
              </w:rPr>
              <w:t>Dual-Wire</w:t>
            </w:r>
            <w:r>
              <w:rPr>
                <w:rFonts w:ascii="Arial" w:hAnsi="Arial"/>
                <w:b/>
                <w:sz w:val="18"/>
              </w:rPr>
              <w:t xml:space="preserve"> constan</w:t>
            </w:r>
            <w:r w:rsidR="00F107DA">
              <w:rPr>
                <w:rFonts w:ascii="Arial" w:hAnsi="Arial"/>
                <w:b/>
                <w:sz w:val="18"/>
              </w:rPr>
              <w:t xml:space="preserve"> </w:t>
            </w:r>
            <w:r>
              <w:rPr>
                <w:rFonts w:ascii="Arial" w:hAnsi="Arial"/>
                <w:b/>
                <w:sz w:val="18"/>
              </w:rPr>
              <w:t>de un LED rojo, verde y azul, así como de un CI de control, y permiten una transmisión de datos hasta 13 veces más rápida en comparación con los</w:t>
            </w:r>
            <w:r w:rsidR="00F107DA">
              <w:rPr>
                <w:rFonts w:ascii="Arial" w:hAnsi="Arial"/>
                <w:b/>
                <w:sz w:val="18"/>
              </w:rPr>
              <w:t> </w:t>
            </w:r>
            <w:r>
              <w:rPr>
                <w:rFonts w:ascii="Arial" w:hAnsi="Arial"/>
                <w:b/>
                <w:sz w:val="18"/>
              </w:rPr>
              <w:t>ICL</w:t>
            </w:r>
            <w:r w:rsidR="005329CE">
              <w:rPr>
                <w:rFonts w:ascii="Arial" w:hAnsi="Arial"/>
                <w:b/>
                <w:sz w:val="18"/>
              </w:rPr>
              <w:t>ED</w:t>
            </w:r>
            <w:r>
              <w:rPr>
                <w:rFonts w:ascii="Arial" w:hAnsi="Arial"/>
                <w:b/>
                <w:sz w:val="18"/>
              </w:rPr>
              <w:t xml:space="preserve">s </w:t>
            </w:r>
            <w:r>
              <w:rPr>
                <w:rFonts w:ascii="Arial" w:hAnsi="Arial"/>
                <w:b/>
                <w:sz w:val="18"/>
              </w:rPr>
              <w:t>Single-Wire</w:t>
            </w:r>
            <w:r>
              <w:rPr>
                <w:rFonts w:ascii="Arial" w:hAnsi="Arial"/>
                <w:b/>
                <w:sz w:val="18"/>
              </w:rPr>
              <w:t>. (Tamaño 1,6</w:t>
            </w:r>
            <w:r w:rsidR="00F107DA">
              <w:rPr>
                <w:rFonts w:ascii="Arial" w:hAnsi="Arial"/>
                <w:b/>
                <w:sz w:val="18"/>
              </w:rPr>
              <w:t> </w:t>
            </w:r>
            <w:r>
              <w:rPr>
                <w:rFonts w:ascii="Arial" w:hAnsi="Arial"/>
                <w:b/>
                <w:sz w:val="18"/>
              </w:rPr>
              <w:t>×</w:t>
            </w:r>
            <w:r w:rsidR="00F107DA">
              <w:rPr>
                <w:rFonts w:ascii="Arial" w:hAnsi="Arial"/>
                <w:b/>
                <w:sz w:val="18"/>
              </w:rPr>
              <w:t> </w:t>
            </w:r>
            <w:r>
              <w:rPr>
                <w:rFonts w:ascii="Arial" w:hAnsi="Arial"/>
                <w:b/>
                <w:sz w:val="18"/>
              </w:rPr>
              <w:t>1,6 mm)</w:t>
            </w:r>
            <w:r>
              <w:rPr>
                <w:rFonts w:ascii="Arial" w:hAnsi="Arial"/>
                <w:b/>
                <w:sz w:val="18"/>
              </w:rPr>
              <w:br/>
            </w:r>
          </w:p>
        </w:tc>
        <w:tc>
          <w:tcPr>
            <w:tcW w:w="3510" w:type="dxa"/>
          </w:tcPr>
          <w:p w14:paraId="285068B0" w14:textId="77777777" w:rsidR="005012E0" w:rsidRDefault="003661E2">
            <w:pPr>
              <w:pStyle w:val="txt"/>
              <w:rPr>
                <w:b/>
                <w:bCs/>
                <w:color w:val="auto"/>
                <w:sz w:val="18"/>
              </w:rPr>
            </w:pPr>
            <w:r>
              <w:rPr>
                <w:b/>
                <w:color w:val="auto"/>
              </w:rPr>
              <w:br/>
            </w:r>
            <w:r>
              <w:rPr>
                <w:noProof/>
                <w:lang w:eastAsia="zh-TW"/>
              </w:rPr>
              <w:drawing>
                <wp:inline distT="0" distB="0" distL="0" distR="0" wp14:anchorId="475623CA" wp14:editId="4EA7E8E1">
                  <wp:extent cx="2139950" cy="1625600"/>
                  <wp:effectExtent l="0" t="0" r="0" b="0"/>
                  <wp:docPr id="7261900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018" b="12018"/>
                          <a:stretch/>
                        </pic:blipFill>
                        <pic:spPr bwMode="auto">
                          <a:xfrm>
                            <a:off x="0" y="0"/>
                            <a:ext cx="2139950" cy="1625600"/>
                          </a:xfrm>
                          <a:prstGeom prst="rect">
                            <a:avLst/>
                          </a:prstGeom>
                          <a:noFill/>
                          <a:ln>
                            <a:noFill/>
                          </a:ln>
                          <a:extLst>
                            <a:ext uri="{53640926-AAD7-44D8-BBD7-CCE9431645EC}">
                              <a14:shadowObscured xmlns:a14="http://schemas.microsoft.com/office/drawing/2010/main"/>
                            </a:ext>
                          </a:extLst>
                        </pic:spPr>
                      </pic:pic>
                    </a:graphicData>
                  </a:graphic>
                </wp:inline>
              </w:drawing>
            </w:r>
            <w:r>
              <w:rPr>
                <w:color w:val="auto"/>
                <w:sz w:val="16"/>
              </w:rPr>
              <w:t xml:space="preserve">Fuente de la imagen: Würth Elektronik </w:t>
            </w:r>
          </w:p>
          <w:p w14:paraId="2FCCF258" w14:textId="79B3F24E" w:rsidR="005012E0" w:rsidRDefault="003661E2">
            <w:pPr>
              <w:autoSpaceDE w:val="0"/>
              <w:autoSpaceDN w:val="0"/>
              <w:adjustRightInd w:val="0"/>
              <w:rPr>
                <w:rFonts w:ascii="Arial" w:hAnsi="Arial" w:cs="Arial"/>
                <w:b/>
                <w:sz w:val="18"/>
                <w:szCs w:val="18"/>
              </w:rPr>
            </w:pPr>
            <w:r>
              <w:rPr>
                <w:rFonts w:ascii="Arial" w:hAnsi="Arial"/>
                <w:b/>
                <w:sz w:val="18"/>
              </w:rPr>
              <w:t xml:space="preserve">Los componentes presentan </w:t>
            </w:r>
            <w:r>
              <w:rPr>
                <w:rFonts w:ascii="Arial" w:hAnsi="Arial"/>
                <w:b/>
                <w:sz w:val="18"/>
              </w:rPr>
              <w:t xml:space="preserve">un layout </w:t>
            </w:r>
            <w:r>
              <w:rPr>
                <w:rFonts w:ascii="Arial" w:hAnsi="Arial"/>
                <w:b/>
                <w:sz w:val="18"/>
              </w:rPr>
              <w:t>común en la industria.</w:t>
            </w:r>
          </w:p>
        </w:tc>
      </w:tr>
      <w:tr w:rsidR="005012E0" w14:paraId="5DFA44DC" w14:textId="77777777">
        <w:trPr>
          <w:trHeight w:val="1701"/>
        </w:trPr>
        <w:tc>
          <w:tcPr>
            <w:tcW w:w="3510" w:type="dxa"/>
          </w:tcPr>
          <w:p w14:paraId="31EAA7A5" w14:textId="77777777" w:rsidR="005012E0" w:rsidRDefault="003661E2">
            <w:pPr>
              <w:pStyle w:val="txt"/>
              <w:rPr>
                <w:b/>
                <w:bCs/>
                <w:color w:val="auto"/>
                <w:sz w:val="18"/>
              </w:rPr>
            </w:pPr>
            <w:r>
              <w:rPr>
                <w:b/>
                <w:color w:val="auto"/>
              </w:rPr>
              <w:br/>
            </w:r>
            <w:r>
              <w:rPr>
                <w:noProof/>
                <w:lang w:eastAsia="zh-TW"/>
              </w:rPr>
              <w:drawing>
                <wp:inline distT="0" distB="0" distL="0" distR="0" wp14:anchorId="1A9DDA2E" wp14:editId="34C7D367">
                  <wp:extent cx="2139950" cy="1473200"/>
                  <wp:effectExtent l="0" t="0" r="0" b="0"/>
                  <wp:docPr id="150728004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Pr>
                <w:color w:val="auto"/>
                <w:sz w:val="16"/>
              </w:rPr>
              <w:t xml:space="preserve">Fuente de la imagen: Würth Elektronik </w:t>
            </w:r>
          </w:p>
          <w:p w14:paraId="122E32B8" w14:textId="07638C61" w:rsidR="005012E0" w:rsidRDefault="003661E2">
            <w:pPr>
              <w:autoSpaceDE w:val="0"/>
              <w:autoSpaceDN w:val="0"/>
              <w:adjustRightInd w:val="0"/>
              <w:rPr>
                <w:rFonts w:ascii="Arial" w:hAnsi="Arial" w:cs="Arial"/>
                <w:b/>
                <w:sz w:val="18"/>
                <w:szCs w:val="18"/>
              </w:rPr>
            </w:pPr>
            <w:r>
              <w:rPr>
                <w:rFonts w:ascii="Arial" w:hAnsi="Arial"/>
                <w:b/>
                <w:sz w:val="18"/>
              </w:rPr>
              <w:t>El modelo con encapsulado 5050 ahora también está disponible con Dual Wire.</w:t>
            </w:r>
            <w:r w:rsidR="005329CE">
              <w:rPr>
                <w:rFonts w:ascii="Arial" w:hAnsi="Arial"/>
                <w:b/>
                <w:sz w:val="18"/>
              </w:rPr>
              <w:br/>
            </w:r>
            <w:r>
              <w:rPr>
                <w:b/>
              </w:rPr>
              <w:t xml:space="preserve"> </w:t>
            </w:r>
          </w:p>
        </w:tc>
        <w:tc>
          <w:tcPr>
            <w:tcW w:w="3510" w:type="dxa"/>
          </w:tcPr>
          <w:p w14:paraId="115C8527" w14:textId="77777777" w:rsidR="005012E0" w:rsidRDefault="003661E2">
            <w:pPr>
              <w:pStyle w:val="txt"/>
              <w:rPr>
                <w:b/>
                <w:bCs/>
                <w:color w:val="auto"/>
                <w:sz w:val="18"/>
              </w:rPr>
            </w:pPr>
            <w:r>
              <w:rPr>
                <w:b/>
                <w:color w:val="auto"/>
              </w:rPr>
              <w:br/>
            </w:r>
            <w:r>
              <w:rPr>
                <w:noProof/>
                <w:lang w:eastAsia="zh-TW"/>
              </w:rPr>
              <w:drawing>
                <wp:inline distT="0" distB="0" distL="0" distR="0" wp14:anchorId="7105F533" wp14:editId="0C9C9D1E">
                  <wp:extent cx="2058916" cy="1472400"/>
                  <wp:effectExtent l="0" t="0" r="0" b="0"/>
                  <wp:docPr id="13029881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243" b="14243"/>
                          <a:stretch/>
                        </pic:blipFill>
                        <pic:spPr bwMode="auto">
                          <a:xfrm>
                            <a:off x="0" y="0"/>
                            <a:ext cx="2058916" cy="1472400"/>
                          </a:xfrm>
                          <a:prstGeom prst="rect">
                            <a:avLst/>
                          </a:prstGeom>
                          <a:noFill/>
                          <a:ln>
                            <a:noFill/>
                          </a:ln>
                          <a:extLst>
                            <a:ext uri="{53640926-AAD7-44D8-BBD7-CCE9431645EC}">
                              <a14:shadowObscured xmlns:a14="http://schemas.microsoft.com/office/drawing/2010/main"/>
                            </a:ext>
                          </a:extLst>
                        </pic:spPr>
                      </pic:pic>
                    </a:graphicData>
                  </a:graphic>
                </wp:inline>
              </w:drawing>
            </w:r>
            <w:r>
              <w:rPr>
                <w:color w:val="auto"/>
                <w:sz w:val="16"/>
              </w:rPr>
              <w:t xml:space="preserve">Fuente de la imagen: Würth Elektronik </w:t>
            </w:r>
          </w:p>
          <w:p w14:paraId="256CE783" w14:textId="77777777" w:rsidR="005012E0" w:rsidRDefault="003661E2">
            <w:pPr>
              <w:autoSpaceDE w:val="0"/>
              <w:autoSpaceDN w:val="0"/>
              <w:adjustRightInd w:val="0"/>
              <w:rPr>
                <w:rFonts w:ascii="Arial" w:hAnsi="Arial" w:cs="Arial"/>
                <w:b/>
                <w:sz w:val="18"/>
                <w:szCs w:val="18"/>
              </w:rPr>
            </w:pPr>
            <w:r>
              <w:rPr>
                <w:rFonts w:ascii="Arial" w:hAnsi="Arial"/>
                <w:b/>
                <w:sz w:val="18"/>
              </w:rPr>
              <w:t>Los ICLED del tamaño 5,0 × 5,0 mm tienen una huella PLCC6.</w:t>
            </w:r>
            <w:r>
              <w:rPr>
                <w:rFonts w:ascii="Arial" w:hAnsi="Arial"/>
                <w:b/>
                <w:sz w:val="18"/>
              </w:rPr>
              <w:br/>
            </w:r>
          </w:p>
        </w:tc>
      </w:tr>
    </w:tbl>
    <w:p w14:paraId="65309592" w14:textId="77777777" w:rsidR="005012E0" w:rsidRDefault="005012E0">
      <w:pPr>
        <w:pStyle w:val="PITextkrper"/>
        <w:rPr>
          <w:b/>
          <w:bCs/>
          <w:sz w:val="18"/>
          <w:szCs w:val="18"/>
        </w:rPr>
      </w:pPr>
    </w:p>
    <w:p w14:paraId="1B24ED4A" w14:textId="26069B2D" w:rsidR="008D2241" w:rsidRDefault="008D2241">
      <w:pPr>
        <w:rPr>
          <w:rFonts w:ascii="Arial" w:hAnsi="Arial" w:cs="Arial"/>
          <w:sz w:val="20"/>
          <w:szCs w:val="20"/>
        </w:rPr>
      </w:pPr>
      <w:bookmarkStart w:id="1" w:name="_Hlk155794191"/>
      <w:r>
        <w:rPr>
          <w:rFonts w:ascii="Arial" w:hAnsi="Arial"/>
          <w:b/>
          <w:bCs/>
        </w:rPr>
        <w:br w:type="page"/>
      </w:r>
    </w:p>
    <w:p w14:paraId="667BDF64" w14:textId="77777777" w:rsidR="008D2241" w:rsidRPr="00735520" w:rsidRDefault="008D2241" w:rsidP="008D2241">
      <w:pPr>
        <w:pStyle w:val="Textkrper"/>
        <w:spacing w:before="120" w:after="120" w:line="260" w:lineRule="exact"/>
        <w:jc w:val="both"/>
        <w:rPr>
          <w:rFonts w:ascii="Arial" w:hAnsi="Arial"/>
          <w:b w:val="0"/>
          <w:bCs w:val="0"/>
        </w:rPr>
      </w:pPr>
    </w:p>
    <w:p w14:paraId="72AFF14B" w14:textId="77777777" w:rsidR="008D2241" w:rsidRPr="00735520" w:rsidRDefault="008D2241" w:rsidP="008D2241">
      <w:pPr>
        <w:pStyle w:val="PITextkrper"/>
        <w:pBdr>
          <w:top w:val="single" w:sz="4" w:space="1" w:color="auto"/>
        </w:pBdr>
        <w:spacing w:before="240"/>
        <w:rPr>
          <w:b/>
          <w:sz w:val="18"/>
          <w:szCs w:val="18"/>
        </w:rPr>
      </w:pPr>
    </w:p>
    <w:p w14:paraId="62C8BA0A" w14:textId="77777777" w:rsidR="008D2241" w:rsidRPr="00735520" w:rsidRDefault="008D2241" w:rsidP="008D2241">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4995EBC5" w14:textId="77777777" w:rsidR="008D2241" w:rsidRPr="00735520" w:rsidRDefault="008D2241" w:rsidP="008D224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782D21D" w14:textId="77777777" w:rsidR="008D2241" w:rsidRPr="00735520" w:rsidRDefault="008D2241" w:rsidP="008D2241">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10C36B72" w14:textId="77777777" w:rsidR="008D2241" w:rsidRPr="00735520" w:rsidRDefault="008D2241" w:rsidP="008D2241">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3FD9DC7" w14:textId="77777777" w:rsidR="008D2241" w:rsidRPr="00735520" w:rsidRDefault="008D2241" w:rsidP="008D2241">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239A98F6" w14:textId="77777777" w:rsidR="008D2241" w:rsidRPr="00163BBC" w:rsidRDefault="008D2241" w:rsidP="008D2241">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7CEADBA6" w14:textId="77777777" w:rsidR="008D2241" w:rsidRPr="00735520" w:rsidRDefault="008D2241" w:rsidP="008D2241">
      <w:pPr>
        <w:pStyle w:val="Textkrper"/>
        <w:spacing w:before="120" w:after="120" w:line="276" w:lineRule="auto"/>
        <w:rPr>
          <w:rFonts w:ascii="Arial" w:hAnsi="Arial"/>
        </w:rPr>
      </w:pPr>
      <w:r w:rsidRPr="00735520">
        <w:rPr>
          <w:rFonts w:ascii="Arial" w:hAnsi="Arial"/>
        </w:rPr>
        <w:t>Más información en www.we-online.com</w:t>
      </w:r>
    </w:p>
    <w:p w14:paraId="58F957AE" w14:textId="77777777" w:rsidR="008D2241" w:rsidRPr="00735520" w:rsidRDefault="008D2241" w:rsidP="008D224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D2241" w:rsidRPr="00163BBC" w14:paraId="258CBDB8" w14:textId="77777777" w:rsidTr="00151196">
        <w:tc>
          <w:tcPr>
            <w:tcW w:w="3902" w:type="dxa"/>
            <w:hideMark/>
          </w:tcPr>
          <w:p w14:paraId="70A58919" w14:textId="77777777" w:rsidR="008D2241" w:rsidRPr="00735520" w:rsidRDefault="008D2241" w:rsidP="00151196">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19896A96" w14:textId="77777777" w:rsidR="008D2241" w:rsidRPr="00735520" w:rsidRDefault="008D2241" w:rsidP="00151196">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47CAC28D" w14:textId="77777777" w:rsidR="008D2241" w:rsidRPr="00735520" w:rsidRDefault="008D2241" w:rsidP="00151196">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8966EB1" w14:textId="77777777" w:rsidR="008D2241" w:rsidRPr="00735520" w:rsidRDefault="008D2241" w:rsidP="00151196">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4E21637A" w14:textId="77777777" w:rsidR="008D2241" w:rsidRPr="00735520" w:rsidRDefault="008D2241" w:rsidP="00151196">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1F21DBA" w14:textId="77777777" w:rsidR="008D2241" w:rsidRPr="00735520" w:rsidRDefault="008D2241" w:rsidP="00151196">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706B63AD" w14:textId="77777777" w:rsidR="008D2241" w:rsidRPr="00735520" w:rsidRDefault="008D2241" w:rsidP="00151196">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2DBCE78" w14:textId="77777777" w:rsidR="008D2241" w:rsidRPr="00735520" w:rsidRDefault="008D2241" w:rsidP="00151196">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2356F371" w14:textId="77777777" w:rsidR="008D2241" w:rsidRPr="00735520" w:rsidRDefault="008D2241" w:rsidP="008D2241">
      <w:pPr>
        <w:pStyle w:val="Textkrper"/>
        <w:spacing w:before="120" w:after="120" w:line="276" w:lineRule="auto"/>
      </w:pPr>
    </w:p>
    <w:bookmarkEnd w:id="1"/>
    <w:sectPr w:rsidR="008D2241" w:rsidRPr="00735520">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9DF9F" w14:textId="77777777" w:rsidR="005012E0" w:rsidRDefault="003661E2">
      <w:r>
        <w:separator/>
      </w:r>
    </w:p>
  </w:endnote>
  <w:endnote w:type="continuationSeparator" w:id="0">
    <w:p w14:paraId="68AF5B5D" w14:textId="77777777" w:rsidR="005012E0" w:rsidRDefault="0036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799BC" w14:textId="273424EC" w:rsidR="005012E0" w:rsidRDefault="003661E2">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WTH1PI1591</w:t>
    </w:r>
    <w:r w:rsidR="005329CE">
      <w:rPr>
        <w:rFonts w:ascii="Arial" w:hAnsi="Arial" w:cs="Arial"/>
        <w:noProof/>
        <w:snapToGrid w:val="0"/>
        <w:sz w:val="16"/>
        <w:lang w:val="de-DE"/>
      </w:rPr>
      <w:t>_es</w:t>
    </w:r>
    <w:r>
      <w:rPr>
        <w:rFonts w:ascii="Arial" w:hAnsi="Arial" w:cs="Arial"/>
        <w:noProof/>
        <w:snapToGrid w:val="0"/>
        <w:sz w:val="16"/>
        <w:lang w:val="de-DE"/>
      </w:rPr>
      <w:t>.docx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3ECB3" w14:textId="77777777" w:rsidR="005012E0" w:rsidRDefault="003661E2">
      <w:r>
        <w:separator/>
      </w:r>
    </w:p>
  </w:footnote>
  <w:footnote w:type="continuationSeparator" w:id="0">
    <w:p w14:paraId="4BFA039F" w14:textId="77777777" w:rsidR="005012E0" w:rsidRDefault="0036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E97C4" w14:textId="77777777" w:rsidR="005012E0" w:rsidRDefault="003661E2">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5FC9EB7" wp14:editId="0761B31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668275">
    <w:abstractNumId w:val="4"/>
  </w:num>
  <w:num w:numId="2" w16cid:durableId="1761489755">
    <w:abstractNumId w:val="1"/>
  </w:num>
  <w:num w:numId="3" w16cid:durableId="1471627786">
    <w:abstractNumId w:val="2"/>
  </w:num>
  <w:num w:numId="4" w16cid:durableId="855384631">
    <w:abstractNumId w:val="3"/>
  </w:num>
  <w:num w:numId="5" w16cid:durableId="91987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E0"/>
    <w:rsid w:val="000D37AB"/>
    <w:rsid w:val="003661E2"/>
    <w:rsid w:val="005012E0"/>
    <w:rsid w:val="005329CE"/>
    <w:rsid w:val="00715F4A"/>
    <w:rsid w:val="0074432E"/>
    <w:rsid w:val="008D2241"/>
    <w:rsid w:val="00E65F07"/>
    <w:rsid w:val="00F107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FDB7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ICLED?ajax="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F586-A865-40F9-AC2E-F9B92E0C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4668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9</cp:revision>
  <cp:lastPrinted>2017-06-23T08:32:00Z</cp:lastPrinted>
  <dcterms:created xsi:type="dcterms:W3CDTF">2024-12-03T10:53:00Z</dcterms:created>
  <dcterms:modified xsi:type="dcterms:W3CDTF">2025-01-08T10:42:00Z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