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55B3" w14:textId="77777777" w:rsidR="00525876" w:rsidRDefault="00AD18EA">
      <w:pPr>
        <w:pStyle w:val="berschrift1"/>
        <w:spacing w:before="720" w:after="720" w:line="260" w:lineRule="exact"/>
        <w:rPr>
          <w:sz w:val="20"/>
        </w:rPr>
      </w:pPr>
      <w:r>
        <w:rPr>
          <w:sz w:val="20"/>
        </w:rPr>
        <w:t>COMUNICADO DE PRENSA</w:t>
      </w:r>
    </w:p>
    <w:p w14:paraId="0557900B" w14:textId="77777777" w:rsidR="00525876" w:rsidRDefault="00AD18EA">
      <w:pPr>
        <w:pStyle w:val="Kopfzeile"/>
        <w:tabs>
          <w:tab w:val="clear" w:pos="4536"/>
          <w:tab w:val="clear" w:pos="9072"/>
        </w:tabs>
        <w:spacing w:before="360" w:after="360"/>
        <w:rPr>
          <w:rFonts w:ascii="Arial" w:hAnsi="Arial" w:cs="Arial"/>
          <w:b/>
          <w:bCs/>
        </w:rPr>
      </w:pPr>
      <w:r>
        <w:rPr>
          <w:rFonts w:ascii="Arial" w:hAnsi="Arial"/>
          <w:b/>
        </w:rPr>
        <w:t xml:space="preserve">4ª edición del libro especializado sobre conectores de Würth Elektronik </w:t>
      </w:r>
    </w:p>
    <w:p w14:paraId="0B3DAB93" w14:textId="77777777" w:rsidR="00525876" w:rsidRDefault="00AD18E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Una obra de referencia obligada</w:t>
      </w:r>
    </w:p>
    <w:p w14:paraId="57EBD502" w14:textId="2B234EAD" w:rsidR="00525876" w:rsidRDefault="00AD18EA">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AD18EA">
        <w:rPr>
          <w:rFonts w:ascii="Arial" w:hAnsi="Arial"/>
          <w:color w:val="000000"/>
        </w:rPr>
        <w:t>10 de diciembre</w:t>
      </w:r>
      <w:r>
        <w:rPr>
          <w:rFonts w:ascii="Arial" w:hAnsi="Arial"/>
          <w:color w:val="000000"/>
        </w:rPr>
        <w:t xml:space="preserve"> </w:t>
      </w:r>
      <w:r w:rsidR="006467F8">
        <w:rPr>
          <w:rFonts w:ascii="Arial" w:hAnsi="Arial"/>
          <w:color w:val="000000"/>
        </w:rPr>
        <w:t xml:space="preserve">de </w:t>
      </w:r>
      <w:r>
        <w:rPr>
          <w:rFonts w:ascii="Arial" w:hAnsi="Arial"/>
          <w:color w:val="000000"/>
        </w:rPr>
        <w:t>2024 – El popular libro especializado Trilogy of Connectors de Würth Elektronik ha sido publicado en su 4ª edición. El conocido fabricante de componentes electrónicos y electromecánicos para la industria electrónica ha actualizado y revisado por completo su obra de referencia. El manual de aplicación trata en detalle los fundamentos y las tendencias actuales en materia de conectores.</w:t>
      </w:r>
    </w:p>
    <w:p w14:paraId="0D5786D2" w14:textId="77777777" w:rsidR="00525876" w:rsidRDefault="00AD18EA">
      <w:pPr>
        <w:pStyle w:val="Textkrper"/>
        <w:spacing w:before="120" w:after="120" w:line="260" w:lineRule="exact"/>
        <w:jc w:val="both"/>
        <w:rPr>
          <w:rFonts w:ascii="Arial" w:hAnsi="Arial"/>
          <w:b w:val="0"/>
          <w:bCs w:val="0"/>
        </w:rPr>
      </w:pPr>
      <w:r>
        <w:rPr>
          <w:rFonts w:ascii="Arial" w:hAnsi="Arial"/>
          <w:b w:val="0"/>
        </w:rPr>
        <w:t xml:space="preserve">Los conectores son componentes indispensables en la industria electrónica. Si no funcionan correctamente desde el punto de vista mecánico y eléctrico, representan una fuente potencial de fallos. </w:t>
      </w:r>
      <w:r>
        <w:rPr>
          <w:rFonts w:ascii="Times New Roman" w:hAnsi="Times New Roman"/>
          <w:b w:val="0"/>
          <w:sz w:val="24"/>
        </w:rPr>
        <w:t xml:space="preserve"> </w:t>
      </w:r>
      <w:r>
        <w:rPr>
          <w:rFonts w:ascii="Arial" w:hAnsi="Arial"/>
          <w:b w:val="0"/>
        </w:rPr>
        <w:t>A pesar de los esfuerzos internacionales por establecer normas, como en el caso de los conectores USB, siguen existiendo muchas variantes y normas diferentes, por lo que la elección del producto adecuado no es fácil.</w:t>
      </w:r>
    </w:p>
    <w:p w14:paraId="71DBD8A3" w14:textId="77777777" w:rsidR="00525876" w:rsidRDefault="00AD18EA">
      <w:pPr>
        <w:pStyle w:val="Textkrper"/>
        <w:spacing w:before="120" w:after="120" w:line="260" w:lineRule="exact"/>
        <w:jc w:val="both"/>
        <w:rPr>
          <w:rFonts w:ascii="Arial" w:hAnsi="Arial"/>
          <w:b w:val="0"/>
          <w:bCs w:val="0"/>
        </w:rPr>
      </w:pPr>
      <w:r>
        <w:rPr>
          <w:rFonts w:ascii="Arial" w:hAnsi="Arial"/>
          <w:b w:val="0"/>
        </w:rPr>
        <w:t>La selección y el dimensionamiento resultan mucho más sencillos gracias a la obra de referencia Trilogy of Connectors, que acaba de ser publicada en su 4ª edición. El manual de aplicación aborda todos los desarrollos y tendencias actuales. También proporciona abundante información práctica sobre diversos tipos de conectores, como USB tipo C o Power Delivery. Una sección de nueva incorporación trata de los conectores para cables apantallados y su diseño conforme a EMC.</w:t>
      </w:r>
    </w:p>
    <w:p w14:paraId="1A12E7D1" w14:textId="77777777" w:rsidR="00525876" w:rsidRDefault="00AD18EA">
      <w:pPr>
        <w:pStyle w:val="Textkrper"/>
        <w:spacing w:before="120" w:after="120" w:line="260" w:lineRule="exact"/>
        <w:jc w:val="both"/>
        <w:rPr>
          <w:rFonts w:ascii="Arial" w:hAnsi="Arial"/>
          <w:b w:val="0"/>
          <w:bCs w:val="0"/>
        </w:rPr>
      </w:pPr>
      <w:r>
        <w:rPr>
          <w:rFonts w:ascii="Arial" w:hAnsi="Arial"/>
          <w:b w:val="0"/>
        </w:rPr>
        <w:t>La estructura clara en tres capítulos se mantiene:</w:t>
      </w:r>
    </w:p>
    <w:p w14:paraId="6254077A" w14:textId="604E6CBD" w:rsidR="00525876" w:rsidRDefault="00AD18EA">
      <w:pPr>
        <w:pStyle w:val="Textkrper"/>
        <w:numPr>
          <w:ilvl w:val="0"/>
          <w:numId w:val="6"/>
        </w:numPr>
        <w:spacing w:before="120" w:after="120" w:line="260" w:lineRule="exact"/>
        <w:rPr>
          <w:rFonts w:ascii="Arial" w:hAnsi="Arial"/>
          <w:b w:val="0"/>
          <w:bCs w:val="0"/>
        </w:rPr>
      </w:pPr>
      <w:r>
        <w:rPr>
          <w:rFonts w:ascii="Arial" w:hAnsi="Arial"/>
          <w:b w:val="0"/>
        </w:rPr>
        <w:t>El capítulo 1 se centra en los principios básicos de los conectores: funcionamiento, materiales básicos y diseño de contactos. Aquí, los diseñadores también pueden informarse sobre las distintas opciones de montaje en placas de circuito impreso o cables.</w:t>
      </w:r>
    </w:p>
    <w:p w14:paraId="4CAFC942" w14:textId="77777777" w:rsidR="00525876" w:rsidRDefault="00AD18EA">
      <w:pPr>
        <w:pStyle w:val="Textkrper"/>
        <w:numPr>
          <w:ilvl w:val="0"/>
          <w:numId w:val="6"/>
        </w:numPr>
        <w:spacing w:before="120" w:after="120" w:line="260" w:lineRule="exact"/>
        <w:rPr>
          <w:rFonts w:ascii="Arial" w:hAnsi="Arial"/>
          <w:b w:val="0"/>
          <w:bCs w:val="0"/>
        </w:rPr>
      </w:pPr>
      <w:r>
        <w:rPr>
          <w:rFonts w:ascii="Arial" w:hAnsi="Arial"/>
          <w:b w:val="0"/>
        </w:rPr>
        <w:t>El capítulo 2 trata de los parámetros técnicos de los conectores y su caracterización.</w:t>
      </w:r>
    </w:p>
    <w:p w14:paraId="0EC8BF13" w14:textId="77777777" w:rsidR="00525876" w:rsidRDefault="00AD18EA">
      <w:pPr>
        <w:pStyle w:val="Textkrper"/>
        <w:numPr>
          <w:ilvl w:val="0"/>
          <w:numId w:val="6"/>
        </w:numPr>
        <w:spacing w:before="120" w:after="120" w:line="260" w:lineRule="exact"/>
        <w:rPr>
          <w:rFonts w:ascii="Arial" w:hAnsi="Arial"/>
          <w:b w:val="0"/>
          <w:bCs w:val="0"/>
        </w:rPr>
      </w:pPr>
      <w:r>
        <w:rPr>
          <w:rFonts w:ascii="Arial" w:hAnsi="Arial"/>
          <w:b w:val="0"/>
        </w:rPr>
        <w:t>El capítulo 3 presenta ejemplos de aplicación práctica y proporciona numerosas ideas para una amplia gama de aplicaciones.</w:t>
      </w:r>
    </w:p>
    <w:p w14:paraId="4656E410" w14:textId="6CC1FDED" w:rsidR="00525876" w:rsidRDefault="00AD18EA">
      <w:pPr>
        <w:pStyle w:val="Textkrper"/>
        <w:spacing w:before="120" w:after="120" w:line="260" w:lineRule="exact"/>
        <w:ind w:left="360"/>
        <w:jc w:val="both"/>
        <w:rPr>
          <w:rFonts w:ascii="Arial" w:hAnsi="Arial"/>
          <w:b w:val="0"/>
        </w:rPr>
      </w:pPr>
      <w:r>
        <w:rPr>
          <w:rFonts w:ascii="Arial" w:hAnsi="Arial"/>
          <w:b w:val="0"/>
        </w:rPr>
        <w:t xml:space="preserve">La Trilogy of Connectors está en inglés y estará disponible como libro electrónico a principios de 2025. El libro ya se puede solicitar directamente a Würth Elektronik: </w:t>
      </w:r>
      <w:hyperlink r:id="rId11" w:history="1">
        <w:r w:rsidR="003C42A5" w:rsidRPr="00232A26">
          <w:rPr>
            <w:rStyle w:val="Hyperlink"/>
            <w:rFonts w:ascii="Arial" w:hAnsi="Arial"/>
            <w:b w:val="0"/>
          </w:rPr>
          <w:t>https://shorturl.at/nr9PF</w:t>
        </w:r>
      </w:hyperlink>
    </w:p>
    <w:p w14:paraId="0E782171" w14:textId="77777777" w:rsidR="00525876" w:rsidRDefault="00525876">
      <w:pPr>
        <w:pStyle w:val="Textkrper"/>
        <w:spacing w:before="120" w:after="120" w:line="260" w:lineRule="exact"/>
        <w:ind w:left="360"/>
        <w:jc w:val="both"/>
        <w:rPr>
          <w:rFonts w:ascii="Arial" w:hAnsi="Arial"/>
          <w:b w:val="0"/>
          <w:bCs w:val="0"/>
        </w:rPr>
      </w:pPr>
    </w:p>
    <w:p w14:paraId="31A7A78C" w14:textId="77777777" w:rsidR="00525876" w:rsidRDefault="00AD18EA">
      <w:pPr>
        <w:rPr>
          <w:rFonts w:ascii="Arial" w:hAnsi="Arial" w:cs="Arial"/>
          <w:sz w:val="20"/>
          <w:szCs w:val="20"/>
        </w:rPr>
      </w:pPr>
      <w:r>
        <w:br w:type="page"/>
      </w:r>
    </w:p>
    <w:p w14:paraId="07D361E1" w14:textId="77777777" w:rsidR="00525876" w:rsidRDefault="00525876">
      <w:pPr>
        <w:pStyle w:val="Textkrper"/>
        <w:spacing w:before="120" w:after="120" w:line="260" w:lineRule="exact"/>
        <w:jc w:val="both"/>
        <w:rPr>
          <w:rFonts w:ascii="Arial" w:hAnsi="Arial"/>
          <w:b w:val="0"/>
          <w:bCs w:val="0"/>
        </w:rPr>
      </w:pPr>
    </w:p>
    <w:p w14:paraId="535EBB2C" w14:textId="77777777" w:rsidR="00525876" w:rsidRDefault="00525876">
      <w:pPr>
        <w:pStyle w:val="PITextkrper"/>
        <w:pBdr>
          <w:top w:val="single" w:sz="4" w:space="1" w:color="auto"/>
        </w:pBdr>
        <w:spacing w:before="240"/>
        <w:rPr>
          <w:b/>
          <w:sz w:val="18"/>
          <w:szCs w:val="18"/>
        </w:rPr>
      </w:pPr>
    </w:p>
    <w:p w14:paraId="039B2177" w14:textId="77777777" w:rsidR="00AD18EA" w:rsidRPr="00735520" w:rsidRDefault="00AD18EA" w:rsidP="00AD18EA">
      <w:pPr>
        <w:spacing w:after="120" w:line="280" w:lineRule="exact"/>
        <w:rPr>
          <w:rFonts w:ascii="Arial" w:hAnsi="Arial" w:cs="Arial"/>
          <w:b/>
          <w:bCs/>
          <w:sz w:val="18"/>
          <w:szCs w:val="18"/>
        </w:rPr>
      </w:pPr>
      <w:r w:rsidRPr="00735520">
        <w:rPr>
          <w:rFonts w:ascii="Arial" w:hAnsi="Arial"/>
          <w:b/>
          <w:sz w:val="18"/>
        </w:rPr>
        <w:t>Imágenes disponibles</w:t>
      </w:r>
    </w:p>
    <w:p w14:paraId="743F56EE" w14:textId="59F56D0C" w:rsidR="00525876" w:rsidRPr="00AD18EA" w:rsidRDefault="00AD18EA">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525876" w14:paraId="45850709" w14:textId="77777777">
        <w:trPr>
          <w:trHeight w:val="1701"/>
        </w:trPr>
        <w:tc>
          <w:tcPr>
            <w:tcW w:w="4002" w:type="dxa"/>
          </w:tcPr>
          <w:p w14:paraId="6631C01F" w14:textId="038082C1" w:rsidR="00525876" w:rsidRDefault="00AD18EA">
            <w:pPr>
              <w:pStyle w:val="txt"/>
              <w:rPr>
                <w:b/>
                <w:bCs/>
                <w:sz w:val="18"/>
              </w:rPr>
            </w:pPr>
            <w:r>
              <w:rPr>
                <w:b/>
                <w:noProof/>
                <w:sz w:val="18"/>
                <w:lang w:eastAsia="zh-TW"/>
              </w:rPr>
              <w:drawing>
                <wp:anchor distT="0" distB="0" distL="114300" distR="114300" simplePos="0" relativeHeight="251658240" behindDoc="0" locked="0" layoutInCell="1" allowOverlap="1" wp14:anchorId="2036B41F" wp14:editId="6DA8CECC">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Pr>
                <w:b/>
              </w:rPr>
              <w:br/>
            </w:r>
            <w:r>
              <w:rPr>
                <w:noProof/>
                <w:sz w:val="18"/>
                <w:lang w:eastAsia="zh-TW"/>
              </w:rPr>
              <w:drawing>
                <wp:inline distT="0" distB="0" distL="0" distR="0" wp14:anchorId="0012482C" wp14:editId="58676E5D">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69928" cy="1332000"/>
                          </a:xfrm>
                          <a:prstGeom prst="rect">
                            <a:avLst/>
                          </a:prstGeom>
                        </pic:spPr>
                      </pic:pic>
                    </a:graphicData>
                  </a:graphic>
                </wp:inline>
              </w:drawing>
            </w:r>
            <w:r>
              <w:rPr>
                <w:b/>
                <w:sz w:val="18"/>
              </w:rPr>
              <w:t xml:space="preserve"> </w:t>
            </w:r>
            <w:r w:rsidR="003C42A5">
              <w:rPr>
                <w:b/>
                <w:bCs/>
                <w:sz w:val="18"/>
              </w:rPr>
              <w:br/>
            </w:r>
            <w:r>
              <w:rPr>
                <w:sz w:val="16"/>
              </w:rPr>
              <w:t xml:space="preserve">Fuente de la imagen: Würth Elektronik </w:t>
            </w:r>
          </w:p>
          <w:p w14:paraId="1DA45CB3" w14:textId="77777777" w:rsidR="00525876" w:rsidRDefault="00AD18EA">
            <w:pPr>
              <w:autoSpaceDE w:val="0"/>
              <w:autoSpaceDN w:val="0"/>
              <w:adjustRightInd w:val="0"/>
              <w:rPr>
                <w:rFonts w:ascii="Arial" w:hAnsi="Arial" w:cs="Arial"/>
                <w:b/>
                <w:bCs/>
                <w:sz w:val="18"/>
                <w:szCs w:val="18"/>
              </w:rPr>
            </w:pPr>
            <w:r>
              <w:rPr>
                <w:rFonts w:ascii="Arial" w:hAnsi="Arial"/>
                <w:b/>
                <w:sz w:val="18"/>
              </w:rPr>
              <w:t>Trilogy of Connectors: fundamentos, especificaciones y aplicaciones</w:t>
            </w:r>
            <w:r>
              <w:rPr>
                <w:rFonts w:ascii="Arial" w:hAnsi="Arial"/>
                <w:b/>
                <w:sz w:val="18"/>
              </w:rPr>
              <w:br/>
            </w:r>
          </w:p>
        </w:tc>
      </w:tr>
    </w:tbl>
    <w:p w14:paraId="1B6BAD1A" w14:textId="77777777" w:rsidR="00525876" w:rsidRDefault="00525876">
      <w:pPr>
        <w:pStyle w:val="PITextkrper"/>
        <w:rPr>
          <w:b/>
          <w:bCs/>
          <w:sz w:val="18"/>
          <w:szCs w:val="18"/>
        </w:rPr>
      </w:pPr>
    </w:p>
    <w:p w14:paraId="0CDC8734" w14:textId="77777777" w:rsidR="00525876" w:rsidRDefault="00525876">
      <w:pPr>
        <w:pStyle w:val="Textkrper"/>
        <w:spacing w:before="120" w:after="120" w:line="260" w:lineRule="exact"/>
        <w:jc w:val="both"/>
        <w:rPr>
          <w:rFonts w:ascii="Arial" w:hAnsi="Arial"/>
          <w:b w:val="0"/>
          <w:bCs w:val="0"/>
        </w:rPr>
      </w:pPr>
    </w:p>
    <w:p w14:paraId="033B97AF" w14:textId="77777777" w:rsidR="00525876" w:rsidRDefault="00525876">
      <w:pPr>
        <w:pStyle w:val="PITextkrper"/>
        <w:pBdr>
          <w:top w:val="single" w:sz="4" w:space="1" w:color="auto"/>
        </w:pBdr>
        <w:spacing w:before="240"/>
        <w:rPr>
          <w:b/>
          <w:sz w:val="18"/>
          <w:szCs w:val="18"/>
        </w:rPr>
      </w:pPr>
    </w:p>
    <w:p w14:paraId="776FB8E9" w14:textId="77777777" w:rsidR="00AD18EA" w:rsidRPr="00735520" w:rsidRDefault="00AD18EA" w:rsidP="00AD18EA">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415A8C6" w14:textId="77777777" w:rsidR="00AD18EA" w:rsidRPr="00735520" w:rsidRDefault="00AD18EA" w:rsidP="00AD18EA">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DF87D96" w14:textId="77777777" w:rsidR="00AD18EA" w:rsidRPr="00735520" w:rsidRDefault="00AD18EA" w:rsidP="00AD18EA">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0F6AC2C" w14:textId="77777777" w:rsidR="00AD18EA" w:rsidRPr="00735520" w:rsidRDefault="00AD18EA" w:rsidP="00AD18EA">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237F52A" w14:textId="707E2780" w:rsidR="003C42A5" w:rsidRDefault="00AD18EA" w:rsidP="00AD18EA">
      <w:pPr>
        <w:pStyle w:val="PITextkrper"/>
        <w:rPr>
          <w:bCs/>
          <w:sz w:val="20"/>
          <w:lang w:eastAsia="x-none"/>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543AE2F" w14:textId="77777777" w:rsidR="00AD18EA" w:rsidRPr="00735520" w:rsidRDefault="00AD18EA" w:rsidP="00AD18EA">
      <w:pPr>
        <w:pStyle w:val="PITextkrper"/>
        <w:rPr>
          <w:sz w:val="18"/>
          <w:szCs w:val="18"/>
        </w:rPr>
      </w:pPr>
    </w:p>
    <w:p w14:paraId="67C53CA6" w14:textId="77777777" w:rsidR="00AD18EA" w:rsidRPr="00163BBC" w:rsidRDefault="00AD18EA" w:rsidP="00AD18EA">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4B497D4" w14:textId="77777777" w:rsidR="00AD18EA" w:rsidRPr="00735520" w:rsidRDefault="00AD18EA" w:rsidP="00AD18EA">
      <w:pPr>
        <w:pStyle w:val="Textkrper"/>
        <w:spacing w:before="120" w:after="120" w:line="276" w:lineRule="auto"/>
        <w:rPr>
          <w:rFonts w:ascii="Arial" w:hAnsi="Arial"/>
        </w:rPr>
      </w:pPr>
      <w:r w:rsidRPr="00735520">
        <w:rPr>
          <w:rFonts w:ascii="Arial" w:hAnsi="Arial"/>
        </w:rPr>
        <w:t>Más información en www.we-online.com</w:t>
      </w:r>
    </w:p>
    <w:p w14:paraId="6F316C97" w14:textId="77777777" w:rsidR="00AD18EA" w:rsidRPr="00735520" w:rsidRDefault="00AD18EA" w:rsidP="00AD18E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D18EA" w:rsidRPr="00163BBC" w14:paraId="3D612963" w14:textId="77777777" w:rsidTr="004847A8">
        <w:tc>
          <w:tcPr>
            <w:tcW w:w="3902" w:type="dxa"/>
            <w:hideMark/>
          </w:tcPr>
          <w:p w14:paraId="561FCF1F" w14:textId="77777777" w:rsidR="00AD18EA" w:rsidRPr="00735520" w:rsidRDefault="00AD18EA" w:rsidP="004847A8">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D59B241" w14:textId="77777777" w:rsidR="00AD18EA" w:rsidRPr="00735520" w:rsidRDefault="00AD18EA" w:rsidP="004847A8">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51820DD" w14:textId="77777777" w:rsidR="00AD18EA" w:rsidRPr="00735520" w:rsidRDefault="00AD18EA" w:rsidP="004847A8">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9B16911" w14:textId="77777777" w:rsidR="00AD18EA" w:rsidRPr="00735520" w:rsidRDefault="00AD18EA" w:rsidP="004847A8">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618A684" w14:textId="77777777" w:rsidR="00AD18EA" w:rsidRPr="00735520" w:rsidRDefault="00AD18EA" w:rsidP="004847A8">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AB8DAA9" w14:textId="77777777" w:rsidR="00AD18EA" w:rsidRPr="00735520" w:rsidRDefault="00AD18EA" w:rsidP="004847A8">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0A974E4" w14:textId="77777777" w:rsidR="00AD18EA" w:rsidRPr="00735520" w:rsidRDefault="00AD18EA" w:rsidP="004847A8">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FF60D19" w14:textId="77777777" w:rsidR="00AD18EA" w:rsidRPr="00735520" w:rsidRDefault="00AD18EA" w:rsidP="004847A8">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29BDF514" w14:textId="77777777" w:rsidR="00AD18EA" w:rsidRDefault="00AD18EA" w:rsidP="00AD18EA">
      <w:pPr>
        <w:pStyle w:val="PITextkrper"/>
        <w:spacing w:before="240"/>
        <w:rPr>
          <w:b/>
          <w:sz w:val="18"/>
          <w:szCs w:val="18"/>
        </w:rPr>
      </w:pPr>
    </w:p>
    <w:sectPr w:rsidR="00AD18EA">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D732B" w14:textId="77777777" w:rsidR="00525876" w:rsidRDefault="00AD18EA">
      <w:r>
        <w:separator/>
      </w:r>
    </w:p>
  </w:endnote>
  <w:endnote w:type="continuationSeparator" w:id="0">
    <w:p w14:paraId="04EC66CB" w14:textId="77777777" w:rsidR="00525876" w:rsidRDefault="00AD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2869" w14:textId="0139BC77" w:rsidR="00525876" w:rsidRDefault="00AD18E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WTH1PI1587_es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464F8" w14:textId="77777777" w:rsidR="00525876" w:rsidRDefault="00AD18EA">
      <w:r>
        <w:separator/>
      </w:r>
    </w:p>
  </w:footnote>
  <w:footnote w:type="continuationSeparator" w:id="0">
    <w:p w14:paraId="1C3DAA6F" w14:textId="77777777" w:rsidR="00525876" w:rsidRDefault="00AD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DDC9" w14:textId="77777777" w:rsidR="00525876" w:rsidRDefault="00AD18E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23EE725" wp14:editId="62364D4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507283">
    <w:abstractNumId w:val="5"/>
  </w:num>
  <w:num w:numId="2" w16cid:durableId="723257374">
    <w:abstractNumId w:val="2"/>
  </w:num>
  <w:num w:numId="3" w16cid:durableId="470027681">
    <w:abstractNumId w:val="3"/>
  </w:num>
  <w:num w:numId="4" w16cid:durableId="96800530">
    <w:abstractNumId w:val="4"/>
  </w:num>
  <w:num w:numId="5" w16cid:durableId="1038773655">
    <w:abstractNumId w:val="0"/>
  </w:num>
  <w:num w:numId="6" w16cid:durableId="109625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76"/>
    <w:rsid w:val="00156DD4"/>
    <w:rsid w:val="0028463F"/>
    <w:rsid w:val="003C42A5"/>
    <w:rsid w:val="00525876"/>
    <w:rsid w:val="006467F8"/>
    <w:rsid w:val="00AD18EA"/>
    <w:rsid w:val="00C01D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084E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3C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rturl.at/nr9P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892A-32C6-48CA-9610-0BB014E20F0F}">
  <ds:schemaRefs>
    <ds:schemaRef ds:uri="http://schemas.microsoft.com/sharepoint/v3/contenttype/forms"/>
  </ds:schemaRefs>
</ds:datastoreItem>
</file>

<file path=customXml/itemProps2.xml><?xml version="1.0" encoding="utf-8"?>
<ds:datastoreItem xmlns:ds="http://schemas.openxmlformats.org/officeDocument/2006/customXml" ds:itemID="{D738CA0D-69B0-4810-9120-2E8CEEB9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BD08E-E62A-4366-B0A7-9A0C6CA16AC2}">
  <ds:schemaRefs>
    <ds:schemaRef ds:uri="7ed61d0f-f2a2-4346-a086-b7390c7f5cf9"/>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e62a308c-fedb-412f-b48b-466728cdc851"/>
    <ds:schemaRef ds:uri="http://www.w3.org/XML/1998/namespace"/>
    <ds:schemaRef ds:uri="http://purl.org/dc/elements/1.1/"/>
  </ds:schemaRefs>
</ds:datastoreItem>
</file>

<file path=customXml/itemProps4.xml><?xml version="1.0" encoding="utf-8"?>
<ds:datastoreItem xmlns:ds="http://schemas.openxmlformats.org/officeDocument/2006/customXml" ds:itemID="{20C237CD-A976-4AB8-AE8A-17E24CFE15FE}">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2024-12-03T09:02:00Z</dcterms:created>
  <dcterms:modified xsi:type="dcterms:W3CDTF">2024-12-09T10:51:00Z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