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6BA9" w14:textId="77777777" w:rsidR="00991374" w:rsidRDefault="006B4B21">
      <w:pPr>
        <w:pStyle w:val="berschrift1"/>
        <w:spacing w:before="720" w:after="720" w:line="260" w:lineRule="exact"/>
        <w:rPr>
          <w:sz w:val="20"/>
        </w:rPr>
      </w:pPr>
      <w:r>
        <w:rPr>
          <w:sz w:val="20"/>
        </w:rPr>
        <w:t>COMUNICADO DE PRENSA</w:t>
      </w:r>
    </w:p>
    <w:p w14:paraId="471C2183" w14:textId="77777777" w:rsidR="00991374" w:rsidRDefault="006B4B21">
      <w:pPr>
        <w:pStyle w:val="Kopfzeile"/>
        <w:tabs>
          <w:tab w:val="clear" w:pos="4536"/>
          <w:tab w:val="clear" w:pos="9072"/>
        </w:tabs>
        <w:spacing w:before="360" w:after="360"/>
        <w:rPr>
          <w:rFonts w:ascii="Arial" w:hAnsi="Arial"/>
          <w:b/>
        </w:rPr>
      </w:pPr>
      <w:r>
        <w:rPr>
          <w:rFonts w:ascii="Arial" w:hAnsi="Arial"/>
          <w:b/>
        </w:rPr>
        <w:t xml:space="preserve">Nuevo libro especializado </w:t>
      </w:r>
      <w:bookmarkStart w:id="0" w:name="_Hlk181010362"/>
      <w:r>
        <w:rPr>
          <w:rFonts w:ascii="Arial" w:hAnsi="Arial"/>
          <w:b/>
        </w:rPr>
        <w:t>«ABC of Shielding»</w:t>
      </w:r>
      <w:r>
        <w:t xml:space="preserve"> </w:t>
      </w:r>
      <w:r>
        <w:rPr>
          <w:rFonts w:ascii="Arial" w:hAnsi="Arial"/>
          <w:b/>
        </w:rPr>
        <w:t>de Würth Elektronik</w:t>
      </w:r>
    </w:p>
    <w:bookmarkEnd w:id="0"/>
    <w:p w14:paraId="1D3E86BE" w14:textId="77777777" w:rsidR="00991374" w:rsidRDefault="006B4B21">
      <w:pPr>
        <w:pStyle w:val="Kopfzeile"/>
        <w:tabs>
          <w:tab w:val="clear" w:pos="4536"/>
          <w:tab w:val="clear" w:pos="9072"/>
        </w:tabs>
        <w:suppressAutoHyphens/>
        <w:spacing w:before="360" w:after="360"/>
        <w:rPr>
          <w:rFonts w:ascii="Arial" w:hAnsi="Arial" w:cs="Arial"/>
          <w:b/>
          <w:bCs/>
          <w:color w:val="000000"/>
          <w:sz w:val="36"/>
        </w:rPr>
      </w:pPr>
      <w:r>
        <w:rPr>
          <w:rFonts w:ascii="Arial" w:hAnsi="Arial"/>
          <w:b/>
          <w:color w:val="000000"/>
          <w:sz w:val="36"/>
        </w:rPr>
        <w:t>Apantallamiento</w:t>
      </w:r>
    </w:p>
    <w:p w14:paraId="02C3ECF0" w14:textId="47C1B2A4" w:rsidR="00991374" w:rsidRDefault="006B4B21">
      <w:pPr>
        <w:pStyle w:val="Textkrper"/>
        <w:suppressAutoHyphens/>
        <w:spacing w:before="120" w:after="120" w:line="260" w:lineRule="exact"/>
        <w:jc w:val="both"/>
        <w:rPr>
          <w:rFonts w:ascii="Arial" w:hAnsi="Arial"/>
          <w:color w:val="000000"/>
        </w:rPr>
      </w:pPr>
      <w:r>
        <w:rPr>
          <w:rFonts w:ascii="Arial" w:hAnsi="Arial"/>
          <w:color w:val="000000"/>
        </w:rPr>
        <w:t xml:space="preserve">Waldenburg (Alemania), </w:t>
      </w:r>
      <w:r w:rsidRPr="006B4B21">
        <w:rPr>
          <w:rFonts w:ascii="Arial" w:hAnsi="Arial"/>
          <w:color w:val="000000"/>
        </w:rPr>
        <w:t xml:space="preserve">13 de noviembre </w:t>
      </w:r>
      <w:r>
        <w:rPr>
          <w:rFonts w:ascii="Arial" w:hAnsi="Arial"/>
          <w:color w:val="000000"/>
        </w:rPr>
        <w:t xml:space="preserve">de 2024 – En un compendio de reciente publicación, Würth Elektronik presenta los fundamentos y ejemplos de aplicación práctica de las modernas tecnologías de apantallamiento EMC: la obra </w:t>
      </w:r>
      <w:hyperlink r:id="rId8" w:history="1">
        <w:r>
          <w:rPr>
            <w:rStyle w:val="Hyperlink"/>
            <w:rFonts w:ascii="Arial" w:hAnsi="Arial"/>
          </w:rPr>
          <w:t>«ABC of Shielding»</w:t>
        </w:r>
      </w:hyperlink>
      <w:r>
        <w:rPr>
          <w:rFonts w:ascii="Arial" w:hAnsi="Arial"/>
          <w:color w:val="000000"/>
        </w:rPr>
        <w:t xml:space="preserve"> recoge de forma compacta y comprensible los conocimientos y experiencias de cinco competentes autores especializados. </w:t>
      </w:r>
    </w:p>
    <w:p w14:paraId="3165525C" w14:textId="77777777" w:rsidR="00991374" w:rsidRDefault="006B4B21">
      <w:pPr>
        <w:pStyle w:val="Textkrper"/>
        <w:suppressAutoHyphens/>
        <w:spacing w:before="120" w:after="120" w:line="260" w:lineRule="exact"/>
        <w:jc w:val="both"/>
        <w:rPr>
          <w:rFonts w:ascii="Arial" w:hAnsi="Arial"/>
          <w:b w:val="0"/>
          <w:bCs w:val="0"/>
        </w:rPr>
      </w:pPr>
      <w:r>
        <w:rPr>
          <w:rFonts w:ascii="Arial" w:hAnsi="Arial"/>
          <w:b w:val="0"/>
        </w:rPr>
        <w:t>La compatibilidad electromagnética es crucial para el éxito de cualquier dispositivo electrónico actual: para que un producto consiga el marcado CE y pueda comercializarse, no debe emitir señales de interferencia inadmisibles ni tampoco debe verse afectado su funcionamiento por las ondas electromagnéticas. Para la conformidad EMC es requisito indispensable un apantallamiento minucioso. Por tanto, se trata de un motivo de peso para que Würth Elektronik dedique un libro entero a este tema tan importante.</w:t>
      </w:r>
    </w:p>
    <w:p w14:paraId="17155C7B" w14:textId="77777777" w:rsidR="00991374" w:rsidRDefault="006B4B21">
      <w:pPr>
        <w:pStyle w:val="Textkrper"/>
        <w:suppressAutoHyphens/>
        <w:spacing w:before="120" w:after="120" w:line="260" w:lineRule="exact"/>
        <w:jc w:val="both"/>
        <w:rPr>
          <w:rFonts w:ascii="Arial" w:hAnsi="Arial"/>
        </w:rPr>
      </w:pPr>
      <w:r>
        <w:rPr>
          <w:rFonts w:ascii="Arial" w:hAnsi="Arial"/>
        </w:rPr>
        <w:t>De la teoría a la práctica en cuatro pasos</w:t>
      </w:r>
    </w:p>
    <w:p w14:paraId="2989A8FC" w14:textId="77777777" w:rsidR="00991374" w:rsidRDefault="006B4B21">
      <w:pPr>
        <w:pStyle w:val="Textkrper"/>
        <w:suppressAutoHyphens/>
        <w:spacing w:before="120" w:after="120" w:line="260" w:lineRule="exact"/>
        <w:jc w:val="both"/>
        <w:rPr>
          <w:rFonts w:ascii="Arial" w:hAnsi="Arial"/>
          <w:b w:val="0"/>
          <w:bCs w:val="0"/>
        </w:rPr>
      </w:pPr>
      <w:r>
        <w:rPr>
          <w:rFonts w:ascii="Arial" w:hAnsi="Arial"/>
          <w:b w:val="0"/>
        </w:rPr>
        <w:t>La obra de Antonio Alcarria, Víctor Martínez, el Dr. Adrián Suárez, el Dr. Jorge Victoria y el Dr.-Ing. Heinz Zenkner presenta cuatro apartados:</w:t>
      </w:r>
    </w:p>
    <w:p w14:paraId="21249E45" w14:textId="6CEF2AF9" w:rsidR="00991374" w:rsidRDefault="006B4B21">
      <w:pPr>
        <w:pStyle w:val="Textkrper"/>
        <w:numPr>
          <w:ilvl w:val="0"/>
          <w:numId w:val="6"/>
        </w:numPr>
        <w:suppressAutoHyphens/>
        <w:spacing w:before="120" w:after="120" w:line="260" w:lineRule="exact"/>
        <w:jc w:val="both"/>
        <w:rPr>
          <w:rFonts w:ascii="Arial" w:hAnsi="Arial"/>
          <w:b w:val="0"/>
          <w:bCs w:val="0"/>
        </w:rPr>
      </w:pPr>
      <w:r>
        <w:rPr>
          <w:rFonts w:ascii="Arial" w:hAnsi="Arial"/>
        </w:rPr>
        <w:t>Fundamentos:</w:t>
      </w:r>
      <w:r>
        <w:rPr>
          <w:rFonts w:ascii="Arial" w:hAnsi="Arial"/>
          <w:b w:val="0"/>
        </w:rPr>
        <w:t xml:space="preserve"> la primera parte trata de la influencia que tiene el diseño de la placa de circuito impreso, de la envolvente y del sistema sobre el efecto de apantallamiento, los parámetros y efectos físicos fundamentales, así como los requisitos de inmunidad electromagnética y de emisiones. También se abordan las normas establecidas y su cumplimiento con los materiales de apantallamiento.</w:t>
      </w:r>
    </w:p>
    <w:p w14:paraId="14D884ED" w14:textId="77777777" w:rsidR="00991374" w:rsidRDefault="006B4B21">
      <w:pPr>
        <w:pStyle w:val="Textkrper"/>
        <w:numPr>
          <w:ilvl w:val="0"/>
          <w:numId w:val="6"/>
        </w:numPr>
        <w:suppressAutoHyphens/>
        <w:spacing w:before="120" w:after="120" w:line="260" w:lineRule="exact"/>
        <w:jc w:val="both"/>
        <w:rPr>
          <w:rFonts w:ascii="Arial" w:hAnsi="Arial"/>
          <w:b w:val="0"/>
          <w:bCs w:val="0"/>
        </w:rPr>
      </w:pPr>
      <w:r>
        <w:rPr>
          <w:rFonts w:ascii="Arial" w:hAnsi="Arial"/>
        </w:rPr>
        <w:t>Componentes:</w:t>
      </w:r>
      <w:r>
        <w:rPr>
          <w:rFonts w:ascii="Arial" w:hAnsi="Arial"/>
          <w:b w:val="0"/>
        </w:rPr>
        <w:t xml:space="preserve"> la segunda parte del libro describe los distintos materiales de apantallamiento y proporciona una caracterización precisa. Los lectores acceden a valiosa información sobre la compatibilidad de los materiales, la fuerza de compresión y el montaje.</w:t>
      </w:r>
    </w:p>
    <w:p w14:paraId="517032FE" w14:textId="5F76E46C" w:rsidR="00991374" w:rsidRDefault="006B4B21">
      <w:pPr>
        <w:pStyle w:val="Textkrper"/>
        <w:numPr>
          <w:ilvl w:val="0"/>
          <w:numId w:val="6"/>
        </w:numPr>
        <w:suppressAutoHyphens/>
        <w:spacing w:before="120" w:after="120" w:line="260" w:lineRule="exact"/>
        <w:jc w:val="both"/>
        <w:rPr>
          <w:rFonts w:ascii="Arial" w:hAnsi="Arial"/>
          <w:b w:val="0"/>
          <w:bCs w:val="0"/>
        </w:rPr>
      </w:pPr>
      <w:r>
        <w:rPr>
          <w:rFonts w:ascii="Arial" w:hAnsi="Arial"/>
        </w:rPr>
        <w:t>Aplicaciones:</w:t>
      </w:r>
      <w:r>
        <w:rPr>
          <w:rFonts w:ascii="Arial" w:hAnsi="Arial"/>
          <w:b w:val="0"/>
        </w:rPr>
        <w:t xml:space="preserve"> este capítulo presenta muchos ejemplos concretos del uso de diferentes materiales de apantallamiento, por ejemplo para el apantallamiento a nivel de placas de circuito impreso, sistemas de carga inalámbrica, aplicaciones NFC y RFID.</w:t>
      </w:r>
    </w:p>
    <w:p w14:paraId="58610B45" w14:textId="77777777" w:rsidR="00991374" w:rsidRDefault="006B4B21">
      <w:pPr>
        <w:pStyle w:val="Textkrper"/>
        <w:numPr>
          <w:ilvl w:val="0"/>
          <w:numId w:val="6"/>
        </w:numPr>
        <w:suppressAutoHyphens/>
        <w:spacing w:before="120" w:after="120" w:line="260" w:lineRule="exact"/>
        <w:jc w:val="both"/>
        <w:rPr>
          <w:rFonts w:ascii="Arial" w:hAnsi="Arial"/>
          <w:b w:val="0"/>
          <w:bCs w:val="0"/>
        </w:rPr>
      </w:pPr>
      <w:r>
        <w:rPr>
          <w:rFonts w:ascii="Arial" w:hAnsi="Arial"/>
        </w:rPr>
        <w:t>Consejos para el diseño de apantallamiento EMC:</w:t>
      </w:r>
      <w:r>
        <w:rPr>
          <w:rFonts w:ascii="Arial" w:hAnsi="Arial"/>
          <w:b w:val="0"/>
        </w:rPr>
        <w:t xml:space="preserve"> el último capítulo ofrece una visión global con muchos ejemplos prácticos concretos respecto a la selección y el uso de materiales de apantallamiento.</w:t>
      </w:r>
    </w:p>
    <w:p w14:paraId="1DFA3D78" w14:textId="77777777" w:rsidR="00991374" w:rsidRDefault="00991374">
      <w:pPr>
        <w:pStyle w:val="Textkrper"/>
        <w:suppressAutoHyphens/>
        <w:spacing w:before="120" w:after="120" w:line="260" w:lineRule="exact"/>
        <w:jc w:val="both"/>
        <w:rPr>
          <w:rFonts w:ascii="Arial" w:hAnsi="Arial"/>
          <w:b w:val="0"/>
          <w:bCs w:val="0"/>
        </w:rPr>
      </w:pPr>
    </w:p>
    <w:p w14:paraId="2414F18C" w14:textId="6F25ED7B" w:rsidR="00991374" w:rsidRDefault="006B4B21">
      <w:pPr>
        <w:pStyle w:val="Textkrper"/>
        <w:suppressAutoHyphens/>
        <w:spacing w:before="120" w:after="120" w:line="260" w:lineRule="exact"/>
        <w:jc w:val="both"/>
        <w:rPr>
          <w:rFonts w:ascii="Arial" w:hAnsi="Arial"/>
          <w:b w:val="0"/>
          <w:bCs w:val="0"/>
        </w:rPr>
      </w:pPr>
      <w:r>
        <w:rPr>
          <w:rFonts w:ascii="Arial" w:hAnsi="Arial"/>
          <w:b w:val="0"/>
        </w:rPr>
        <w:lastRenderedPageBreak/>
        <w:t xml:space="preserve">El libro especializado «ABC of Shielding», 1ª edición, idioma: inglés, puede </w:t>
      </w:r>
      <w:hyperlink r:id="rId9" w:history="1">
        <w:r>
          <w:rPr>
            <w:rStyle w:val="Hyperlink"/>
            <w:rFonts w:ascii="Arial" w:hAnsi="Arial"/>
            <w:b w:val="0"/>
          </w:rPr>
          <w:t>pedirse</w:t>
        </w:r>
      </w:hyperlink>
      <w:r>
        <w:rPr>
          <w:rFonts w:ascii="Arial" w:hAnsi="Arial"/>
          <w:b w:val="0"/>
        </w:rPr>
        <w:t xml:space="preserve"> ya directamente a Würth Elektronik.  También se publicará como libro electrónico a principios de 2025.</w:t>
      </w:r>
    </w:p>
    <w:p w14:paraId="5283503D" w14:textId="77777777" w:rsidR="00991374" w:rsidRDefault="00991374">
      <w:pPr>
        <w:pStyle w:val="Textkrper"/>
        <w:spacing w:before="120" w:after="120" w:line="260" w:lineRule="exact"/>
        <w:jc w:val="both"/>
        <w:rPr>
          <w:rFonts w:ascii="Arial" w:hAnsi="Arial"/>
          <w:b w:val="0"/>
          <w:bCs w:val="0"/>
        </w:rPr>
      </w:pPr>
    </w:p>
    <w:p w14:paraId="5C45E3D7" w14:textId="77777777" w:rsidR="00214B0E" w:rsidRDefault="00214B0E">
      <w:pPr>
        <w:pStyle w:val="Textkrper"/>
        <w:spacing w:before="120" w:after="120" w:line="260" w:lineRule="exact"/>
        <w:jc w:val="both"/>
        <w:rPr>
          <w:rFonts w:ascii="Arial" w:hAnsi="Arial"/>
          <w:b w:val="0"/>
          <w:bCs w:val="0"/>
        </w:rPr>
      </w:pPr>
    </w:p>
    <w:p w14:paraId="12AA1FD6" w14:textId="77777777" w:rsidR="00991374" w:rsidRPr="006B4B21" w:rsidRDefault="00991374">
      <w:pPr>
        <w:pStyle w:val="PITextkrper"/>
        <w:pBdr>
          <w:top w:val="single" w:sz="4" w:space="1" w:color="auto"/>
        </w:pBdr>
        <w:spacing w:before="240"/>
        <w:rPr>
          <w:b/>
          <w:sz w:val="18"/>
          <w:szCs w:val="18"/>
        </w:rPr>
      </w:pPr>
    </w:p>
    <w:p w14:paraId="0395E140" w14:textId="77777777" w:rsidR="006B4B21" w:rsidRPr="00735520" w:rsidRDefault="006B4B21" w:rsidP="006B4B21">
      <w:pPr>
        <w:spacing w:after="120" w:line="280" w:lineRule="exact"/>
        <w:rPr>
          <w:rFonts w:ascii="Arial" w:hAnsi="Arial" w:cs="Arial"/>
          <w:b/>
          <w:bCs/>
          <w:sz w:val="18"/>
          <w:szCs w:val="18"/>
        </w:rPr>
      </w:pPr>
      <w:r w:rsidRPr="00735520">
        <w:rPr>
          <w:rFonts w:ascii="Arial" w:hAnsi="Arial"/>
          <w:b/>
          <w:sz w:val="18"/>
        </w:rPr>
        <w:t>Imágenes disponibles</w:t>
      </w:r>
    </w:p>
    <w:p w14:paraId="239408E5" w14:textId="52A29A35" w:rsidR="00991374" w:rsidRPr="006B4B21" w:rsidRDefault="006B4B21">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991374" w14:paraId="5ED24727" w14:textId="77777777">
        <w:trPr>
          <w:trHeight w:val="1701"/>
        </w:trPr>
        <w:tc>
          <w:tcPr>
            <w:tcW w:w="3294" w:type="dxa"/>
          </w:tcPr>
          <w:p w14:paraId="0125FCDB" w14:textId="77777777" w:rsidR="00991374" w:rsidRDefault="006B4B21">
            <w:pPr>
              <w:pStyle w:val="txt"/>
              <w:jc w:val="center"/>
              <w:rPr>
                <w:bCs/>
                <w:sz w:val="16"/>
                <w:szCs w:val="16"/>
              </w:rPr>
            </w:pPr>
            <w:r>
              <w:rPr>
                <w:b/>
              </w:rPr>
              <w:br/>
            </w:r>
            <w:r>
              <w:rPr>
                <w:noProof/>
                <w:sz w:val="18"/>
                <w:lang w:eastAsia="zh-TW"/>
              </w:rPr>
              <w:drawing>
                <wp:inline distT="0" distB="0" distL="0" distR="0" wp14:anchorId="5C610E89" wp14:editId="12779642">
                  <wp:extent cx="1431433" cy="2052000"/>
                  <wp:effectExtent l="0" t="0" r="0" b="5715"/>
                  <wp:docPr id="2998307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0776" name=""/>
                          <pic:cNvPicPr/>
                        </pic:nvPicPr>
                        <pic:blipFill>
                          <a:blip r:embed="rId11"/>
                          <a:stretch>
                            <a:fillRect/>
                          </a:stretch>
                        </pic:blipFill>
                        <pic:spPr>
                          <a:xfrm>
                            <a:off x="0" y="0"/>
                            <a:ext cx="1431433" cy="2052000"/>
                          </a:xfrm>
                          <a:prstGeom prst="rect">
                            <a:avLst/>
                          </a:prstGeom>
                        </pic:spPr>
                      </pic:pic>
                    </a:graphicData>
                  </a:graphic>
                </wp:inline>
              </w:drawing>
            </w:r>
          </w:p>
          <w:p w14:paraId="296211DC" w14:textId="77777777" w:rsidR="00991374" w:rsidRDefault="006B4B21">
            <w:pPr>
              <w:pStyle w:val="txt"/>
              <w:rPr>
                <w:b/>
                <w:bCs/>
                <w:sz w:val="18"/>
              </w:rPr>
            </w:pPr>
            <w:r>
              <w:rPr>
                <w:sz w:val="16"/>
              </w:rPr>
              <w:t>Fuente de la imagen: Würth Elektronik</w:t>
            </w:r>
          </w:p>
          <w:p w14:paraId="3253F685" w14:textId="77777777" w:rsidR="00991374" w:rsidRDefault="006B4B21">
            <w:pPr>
              <w:autoSpaceDE w:val="0"/>
              <w:autoSpaceDN w:val="0"/>
              <w:adjustRightInd w:val="0"/>
              <w:rPr>
                <w:rFonts w:ascii="Arial" w:hAnsi="Arial" w:cs="Arial"/>
                <w:b/>
                <w:sz w:val="18"/>
                <w:szCs w:val="18"/>
              </w:rPr>
            </w:pPr>
            <w:r>
              <w:rPr>
                <w:rFonts w:ascii="Arial" w:hAnsi="Arial"/>
                <w:b/>
                <w:sz w:val="18"/>
              </w:rPr>
              <w:t>«ABC of Shielding», primera edición: teoría y práctica del apantallamiento.</w:t>
            </w:r>
          </w:p>
          <w:p w14:paraId="5A252A3D" w14:textId="77777777" w:rsidR="00991374" w:rsidRDefault="00991374">
            <w:pPr>
              <w:autoSpaceDE w:val="0"/>
              <w:autoSpaceDN w:val="0"/>
              <w:adjustRightInd w:val="0"/>
              <w:rPr>
                <w:rFonts w:ascii="Arial" w:hAnsi="Arial" w:cs="Arial"/>
                <w:b/>
                <w:bCs/>
                <w:sz w:val="18"/>
                <w:szCs w:val="18"/>
              </w:rPr>
            </w:pPr>
          </w:p>
        </w:tc>
      </w:tr>
    </w:tbl>
    <w:p w14:paraId="4400955C" w14:textId="77777777" w:rsidR="00991374" w:rsidRDefault="00991374">
      <w:pPr>
        <w:pStyle w:val="PITextkrper"/>
        <w:rPr>
          <w:b/>
          <w:bCs/>
          <w:sz w:val="18"/>
          <w:szCs w:val="18"/>
        </w:rPr>
      </w:pPr>
    </w:p>
    <w:p w14:paraId="656EBD5E" w14:textId="77777777" w:rsidR="00991374" w:rsidRDefault="00991374">
      <w:pPr>
        <w:pStyle w:val="PITextkrper"/>
        <w:rPr>
          <w:b/>
          <w:bCs/>
          <w:sz w:val="18"/>
          <w:szCs w:val="18"/>
        </w:rPr>
      </w:pPr>
    </w:p>
    <w:p w14:paraId="64639BE8" w14:textId="77777777" w:rsidR="00991374" w:rsidRDefault="00991374">
      <w:pPr>
        <w:pStyle w:val="PITextkrper"/>
        <w:pBdr>
          <w:top w:val="single" w:sz="4" w:space="1" w:color="auto"/>
        </w:pBdr>
        <w:spacing w:before="240"/>
        <w:rPr>
          <w:b/>
          <w:sz w:val="18"/>
          <w:szCs w:val="18"/>
        </w:rPr>
      </w:pPr>
    </w:p>
    <w:p w14:paraId="6CC60D38" w14:textId="77777777" w:rsidR="006B4B21" w:rsidRPr="00735520" w:rsidRDefault="006B4B21" w:rsidP="006B4B21">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4F6123C" w14:textId="77777777" w:rsidR="006B4B21" w:rsidRDefault="006B4B21" w:rsidP="006B4B2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75DD19E" w14:textId="053F5FB6" w:rsidR="00214B0E" w:rsidRDefault="00214B0E">
      <w:pPr>
        <w:rPr>
          <w:rFonts w:ascii="Arial" w:hAnsi="Arial" w:cs="Arial"/>
          <w:bCs/>
          <w:sz w:val="20"/>
          <w:szCs w:val="20"/>
        </w:rPr>
      </w:pPr>
      <w:r>
        <w:rPr>
          <w:rFonts w:ascii="Arial" w:hAnsi="Arial"/>
          <w:b/>
        </w:rPr>
        <w:br w:type="page"/>
      </w:r>
    </w:p>
    <w:p w14:paraId="6B478BA2" w14:textId="77777777" w:rsidR="00214B0E" w:rsidRPr="00735520" w:rsidRDefault="00214B0E" w:rsidP="006B4B21">
      <w:pPr>
        <w:pStyle w:val="Textkrper"/>
        <w:spacing w:before="120" w:after="120" w:line="276" w:lineRule="auto"/>
        <w:jc w:val="both"/>
        <w:rPr>
          <w:rFonts w:ascii="Arial" w:hAnsi="Arial"/>
          <w:b w:val="0"/>
        </w:rPr>
      </w:pPr>
    </w:p>
    <w:p w14:paraId="6F26490F" w14:textId="77777777" w:rsidR="006B4B21" w:rsidRPr="00735520" w:rsidRDefault="006B4B21" w:rsidP="006B4B2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2ACDA64F" w14:textId="77777777" w:rsidR="006B4B21" w:rsidRPr="00735520" w:rsidRDefault="006B4B21" w:rsidP="006B4B2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E71E0DE" w14:textId="77777777" w:rsidR="006B4B21" w:rsidRPr="00735520" w:rsidRDefault="006B4B21" w:rsidP="006B4B2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1CC7904" w14:textId="77777777" w:rsidR="006B4B21" w:rsidRPr="00163BBC" w:rsidRDefault="006B4B21" w:rsidP="006B4B2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C4B7C85" w14:textId="77777777" w:rsidR="006B4B21" w:rsidRPr="00735520" w:rsidRDefault="006B4B21" w:rsidP="006B4B21">
      <w:pPr>
        <w:pStyle w:val="Textkrper"/>
        <w:spacing w:before="120" w:after="120" w:line="276" w:lineRule="auto"/>
        <w:rPr>
          <w:rFonts w:ascii="Arial" w:hAnsi="Arial"/>
        </w:rPr>
      </w:pPr>
      <w:r w:rsidRPr="00735520">
        <w:rPr>
          <w:rFonts w:ascii="Arial" w:hAnsi="Arial"/>
        </w:rPr>
        <w:t>Más información en www.we-online.com</w:t>
      </w:r>
    </w:p>
    <w:p w14:paraId="76F4F3FF" w14:textId="77777777" w:rsidR="006B4B21" w:rsidRPr="00735520" w:rsidRDefault="006B4B21" w:rsidP="006B4B2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B4B21" w:rsidRPr="00163BBC" w14:paraId="184FCF2F" w14:textId="77777777" w:rsidTr="002D1DED">
        <w:tc>
          <w:tcPr>
            <w:tcW w:w="3902" w:type="dxa"/>
            <w:hideMark/>
          </w:tcPr>
          <w:p w14:paraId="2E417D3E" w14:textId="77777777" w:rsidR="006B4B21" w:rsidRPr="00735520" w:rsidRDefault="006B4B21" w:rsidP="002D1DE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16E73E4" w14:textId="77777777" w:rsidR="006B4B21" w:rsidRPr="00735520" w:rsidRDefault="006B4B21" w:rsidP="002D1DE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560A66E" w14:textId="77777777" w:rsidR="006B4B21" w:rsidRPr="00735520" w:rsidRDefault="006B4B21" w:rsidP="002D1DE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7DD9112" w14:textId="77777777" w:rsidR="006B4B21" w:rsidRPr="00735520" w:rsidRDefault="006B4B21" w:rsidP="002D1DE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A13217A" w14:textId="77777777" w:rsidR="006B4B21" w:rsidRPr="00735520" w:rsidRDefault="006B4B21" w:rsidP="002D1DE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AF8192B" w14:textId="77777777" w:rsidR="006B4B21" w:rsidRPr="00735520" w:rsidRDefault="006B4B21" w:rsidP="002D1DE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AEA43EA" w14:textId="77777777" w:rsidR="006B4B21" w:rsidRPr="00735520" w:rsidRDefault="006B4B21" w:rsidP="002D1DE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83C31D0" w14:textId="77777777" w:rsidR="006B4B21" w:rsidRPr="00735520" w:rsidRDefault="006B4B21" w:rsidP="002D1DE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41DA3F95" w14:textId="77777777" w:rsidR="006B4B21" w:rsidRDefault="006B4B21" w:rsidP="006B4B21">
      <w:pPr>
        <w:pStyle w:val="PITextkrper"/>
        <w:spacing w:before="240"/>
        <w:rPr>
          <w:b/>
          <w:sz w:val="18"/>
          <w:szCs w:val="18"/>
        </w:rPr>
      </w:pPr>
    </w:p>
    <w:sectPr w:rsidR="006B4B2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F180" w14:textId="77777777" w:rsidR="00991374" w:rsidRDefault="006B4B21">
      <w:r>
        <w:separator/>
      </w:r>
    </w:p>
  </w:endnote>
  <w:endnote w:type="continuationSeparator" w:id="0">
    <w:p w14:paraId="14DA6924" w14:textId="77777777" w:rsidR="00991374" w:rsidRDefault="006B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C8B4" w14:textId="6FED26C1" w:rsidR="00991374" w:rsidRDefault="006B4B2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WTH1PI1596</w:t>
    </w:r>
    <w:r w:rsidR="00214B0E">
      <w:rPr>
        <w:rFonts w:ascii="Arial" w:hAnsi="Arial" w:cs="Arial"/>
        <w:noProof/>
        <w:snapToGrid w:val="0"/>
        <w:sz w:val="16"/>
        <w:lang w:val="de-DE"/>
      </w:rPr>
      <w:t>_</w:t>
    </w:r>
    <w:r>
      <w:rPr>
        <w:rFonts w:ascii="Arial" w:hAnsi="Arial" w:cs="Arial"/>
        <w:noProof/>
        <w:snapToGrid w:val="0"/>
        <w:sz w:val="16"/>
        <w:lang w:val="de-DE"/>
      </w:rPr>
      <w:t>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3F09" w14:textId="77777777" w:rsidR="00991374" w:rsidRDefault="006B4B21">
      <w:r>
        <w:separator/>
      </w:r>
    </w:p>
  </w:footnote>
  <w:footnote w:type="continuationSeparator" w:id="0">
    <w:p w14:paraId="38018FFB" w14:textId="77777777" w:rsidR="00991374" w:rsidRDefault="006B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7C50" w14:textId="77777777" w:rsidR="00991374" w:rsidRDefault="006B4B2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4E9C627" wp14:editId="17637EA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413"/>
    <w:multiLevelType w:val="hybridMultilevel"/>
    <w:tmpl w:val="7B6C7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065925">
    <w:abstractNumId w:val="5"/>
  </w:num>
  <w:num w:numId="2" w16cid:durableId="710038547">
    <w:abstractNumId w:val="2"/>
  </w:num>
  <w:num w:numId="3" w16cid:durableId="1123764934">
    <w:abstractNumId w:val="3"/>
  </w:num>
  <w:num w:numId="4" w16cid:durableId="312100027">
    <w:abstractNumId w:val="4"/>
  </w:num>
  <w:num w:numId="5" w16cid:durableId="456918611">
    <w:abstractNumId w:val="1"/>
  </w:num>
  <w:num w:numId="6" w16cid:durableId="53786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74"/>
    <w:rsid w:val="00214B0E"/>
    <w:rsid w:val="00375D2A"/>
    <w:rsid w:val="00497187"/>
    <w:rsid w:val="006B4B21"/>
    <w:rsid w:val="00791F04"/>
    <w:rsid w:val="009913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F816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BC_OF_SHIELDING_ENGLISH?aja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ABC_OF_SHIELDING_ENGLISH?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5D17-3679-4F48-9CBB-988A987C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2024-11-08T10:36:00Z</dcterms:created>
  <dcterms:modified xsi:type="dcterms:W3CDTF">2024-11-11T12:28:00Z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