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2B62F" w14:textId="77777777" w:rsidR="007C0CC7" w:rsidRPr="00735520" w:rsidRDefault="007C0CC7" w:rsidP="007C0CC7">
      <w:pPr>
        <w:pStyle w:val="berschrift1"/>
        <w:spacing w:before="720" w:after="720" w:line="260" w:lineRule="exact"/>
        <w:rPr>
          <w:sz w:val="20"/>
        </w:rPr>
      </w:pPr>
      <w:r w:rsidRPr="00735520">
        <w:rPr>
          <w:sz w:val="20"/>
        </w:rPr>
        <w:t>COMUNICADO DE PRENSA</w:t>
      </w:r>
    </w:p>
    <w:p w14:paraId="66DE0128" w14:textId="77777777" w:rsidR="00656564" w:rsidRDefault="007C0CC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los conectores hembra coaxiales sin soldadura</w:t>
      </w:r>
    </w:p>
    <w:p w14:paraId="6DDF4015" w14:textId="6F7F911F" w:rsidR="00656564" w:rsidRDefault="007C0CC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Calidad de transmisión reproducible para </w:t>
      </w:r>
      <w:r>
        <w:rPr>
          <w:rFonts w:ascii="Arial" w:hAnsi="Arial"/>
          <w:b/>
          <w:color w:val="000000"/>
          <w:sz w:val="36"/>
        </w:rPr>
        <w:t>líneas</w:t>
      </w:r>
      <w:r>
        <w:rPr>
          <w:rFonts w:ascii="Arial" w:hAnsi="Arial"/>
          <w:b/>
          <w:color w:val="000000"/>
          <w:sz w:val="36"/>
        </w:rPr>
        <w:t xml:space="preserve"> de alta frecuencia</w:t>
      </w:r>
    </w:p>
    <w:p w14:paraId="28AA5CB1" w14:textId="46B09CAA" w:rsidR="00656564" w:rsidRDefault="007C0CC7">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4</w:t>
      </w:r>
      <w:r>
        <w:rPr>
          <w:rFonts w:ascii="Arial" w:hAnsi="Arial"/>
          <w:color w:val="000000"/>
        </w:rPr>
        <w:t xml:space="preserve"> de </w:t>
      </w:r>
      <w:r w:rsidRPr="007C0CC7">
        <w:rPr>
          <w:rFonts w:ascii="Arial" w:hAnsi="Arial"/>
          <w:color w:val="000000"/>
        </w:rPr>
        <w:t xml:space="preserve">septiembre </w:t>
      </w:r>
      <w:r>
        <w:rPr>
          <w:rFonts w:ascii="Arial" w:hAnsi="Arial"/>
          <w:color w:val="000000"/>
        </w:rPr>
        <w:t xml:space="preserve">de 2024 – Würth Elektronik amplía su familia de conectores SMA para aplicaciones de alta frecuencia con </w:t>
      </w:r>
      <w:r>
        <w:fldChar w:fldCharType="begin"/>
      </w:r>
      <w:r>
        <w:instrText>HYPERLINK "https://www.we-online.com/en/components/products/CM_SMA_CONNECTORS_PCB_SOLDERLESS"</w:instrText>
      </w:r>
      <w:r>
        <w:fldChar w:fldCharType="separate"/>
      </w:r>
      <w:r>
        <w:rPr>
          <w:rStyle w:val="Hyperlink"/>
          <w:rFonts w:ascii="Arial" w:hAnsi="Arial"/>
        </w:rPr>
        <w:t>W</w:t>
      </w:r>
      <w:r>
        <w:rPr>
          <w:rStyle w:val="Hyperlink"/>
          <w:rFonts w:ascii="Arial" w:hAnsi="Arial"/>
        </w:rPr>
        <w:t>R</w:t>
      </w:r>
      <w:r>
        <w:rPr>
          <w:rStyle w:val="Hyperlink"/>
          <w:rFonts w:ascii="Arial" w:hAnsi="Arial"/>
        </w:rPr>
        <w:t>-SMA PCB Solderless</w:t>
      </w:r>
      <w:r>
        <w:rPr>
          <w:rStyle w:val="Hyperlink"/>
          <w:rFonts w:ascii="Arial" w:hAnsi="Arial"/>
        </w:rPr>
        <w:fldChar w:fldCharType="end"/>
      </w:r>
      <w:r>
        <w:rPr>
          <w:rFonts w:ascii="Arial" w:hAnsi="Arial"/>
          <w:color w:val="000000"/>
        </w:rPr>
        <w:t>. El diseño sin soldadura permite un montaje rápido y sencillo sin dañar la placa de circuito impreso. Además del proceso de instalación simplificado, que no requiere equipo de soldadura, los conectores SMA sin soldadura pueden utilizarse varias veces, por lo que resultan adecuados para la creación de prototipos o aplicaciones temporales. Esto los convierte en una solución asequible para la realización de pruebas eficaces. La mayor ventaja de estos conectores hembra es que como no hay que utilizar estaño de</w:t>
      </w:r>
      <w:r>
        <w:rPr>
          <w:rFonts w:ascii="Arial" w:hAnsi="Arial"/>
          <w:color w:val="000000"/>
        </w:rPr>
        <w:t xml:space="preserve"> soldadura en el contacto de señal, se consigue una calidad de conexión reproducible y se evita la dispersión de impedancias debida a la cantidad de pasta de soldadura.</w:t>
      </w:r>
    </w:p>
    <w:p w14:paraId="2AB2BDE8" w14:textId="77777777" w:rsidR="00656564" w:rsidRDefault="007C0CC7">
      <w:pPr>
        <w:pStyle w:val="Textkrper"/>
        <w:spacing w:before="120" w:after="120" w:line="260" w:lineRule="exact"/>
        <w:jc w:val="both"/>
        <w:rPr>
          <w:rFonts w:ascii="Arial" w:hAnsi="Arial"/>
          <w:b w:val="0"/>
          <w:bCs w:val="0"/>
          <w:color w:val="000000"/>
        </w:rPr>
      </w:pPr>
      <w:r>
        <w:rPr>
          <w:rFonts w:ascii="Arial" w:hAnsi="Arial"/>
          <w:b w:val="0"/>
          <w:color w:val="000000"/>
        </w:rPr>
        <w:t>A diferencia de sus competidores, Würth Elektronik ha optado por una versión de latón en lugar de acero inoxidable para la familia de conectores, lo que representa una ventaja en cuanto a precio con el mismo rendimiento eléctrico. La unión atornillada o abrazadera de sujeción con tornillos constituye una conexión mecánicamente muy robusta. Un efecto colateral práctico: los conectores coaxiales sin soldadura son fáciles de reparar y sustituir sobre el terreno sin necesidad de herramientas ni conocimientos es</w:t>
      </w:r>
      <w:r>
        <w:rPr>
          <w:rFonts w:ascii="Arial" w:hAnsi="Arial"/>
          <w:b w:val="0"/>
          <w:color w:val="000000"/>
        </w:rPr>
        <w:t>peciales. Los conectores hembra SMA son adecuados tanto para striplines/multistrip como para guías de ondas coplanares.</w:t>
      </w:r>
    </w:p>
    <w:p w14:paraId="262C2B53" w14:textId="32B23CEC" w:rsidR="00656564" w:rsidRDefault="007C0CC7">
      <w:pPr>
        <w:pStyle w:val="Textkrper"/>
        <w:spacing w:before="120" w:after="120" w:line="260" w:lineRule="exact"/>
        <w:jc w:val="both"/>
        <w:rPr>
          <w:rFonts w:ascii="Arial" w:hAnsi="Arial"/>
          <w:b w:val="0"/>
          <w:bCs w:val="0"/>
          <w:color w:val="000000"/>
        </w:rPr>
      </w:pPr>
      <w:r>
        <w:rPr>
          <w:rFonts w:ascii="Arial" w:hAnsi="Arial"/>
          <w:b w:val="0"/>
          <w:color w:val="000000"/>
        </w:rPr>
        <w:t>Dado que la interfaz SMA cumple la norma MIL-STD-348, está diseñada para 50 </w:t>
      </w:r>
      <w:r>
        <w:rPr>
          <w:rFonts w:ascii="Arial" w:hAnsi="Arial"/>
          <w:b w:val="0"/>
          <w:color w:val="000000"/>
        </w:rPr>
        <w:t xml:space="preserve">ohmios y admite hasta 27 GHz, los conectores coaxiales sin soldadura son especialmente adecuados para aplicaciones de placas de circuitos impresos de alta frecuencia que requieren precisión. </w:t>
      </w:r>
      <w:r>
        <w:rPr>
          <w:rFonts w:ascii="Arial" w:hAnsi="Arial"/>
          <w:b w:val="0"/>
        </w:rPr>
        <w:t>Los conectores se recomiendan para equipos de prueba o placas de medición y para aplicaciones con una temperatura de servicio entre -65 °C y +165 °C.</w:t>
      </w:r>
    </w:p>
    <w:p w14:paraId="0786D1EB" w14:textId="77777777" w:rsidR="00656564" w:rsidRDefault="007C0CC7">
      <w:pPr>
        <w:pStyle w:val="Textkrper"/>
        <w:spacing w:before="120" w:after="120" w:line="260" w:lineRule="exact"/>
        <w:jc w:val="both"/>
        <w:rPr>
          <w:rFonts w:ascii="Arial" w:hAnsi="Arial"/>
          <w:b w:val="0"/>
          <w:bCs w:val="0"/>
        </w:rPr>
      </w:pPr>
      <w:r>
        <w:rPr>
          <w:rFonts w:ascii="Arial" w:hAnsi="Arial"/>
          <w:b w:val="0"/>
        </w:rPr>
        <w:t xml:space="preserve">Los diseñadores que deseen </w:t>
      </w:r>
      <w:r>
        <w:rPr>
          <w:rFonts w:ascii="Arial" w:hAnsi="Arial"/>
          <w:b w:val="0"/>
        </w:rPr>
        <w:t>utilizar estos conectores, p. ej., en telecomunicaciones, aplicaciones inalámbricas de banda ancha y relacionadas con antenas o equipos de prueba, pueden obtener muestras gratuitas de Würth Elektronik.</w:t>
      </w:r>
    </w:p>
    <w:p w14:paraId="5A2FD1C7" w14:textId="0077078B" w:rsidR="007C0CC7" w:rsidRDefault="007C0CC7">
      <w:pPr>
        <w:rPr>
          <w:rFonts w:ascii="Arial" w:hAnsi="Arial" w:cs="Arial"/>
          <w:sz w:val="20"/>
          <w:szCs w:val="20"/>
        </w:rPr>
      </w:pPr>
      <w:r>
        <w:rPr>
          <w:rFonts w:ascii="Arial" w:hAnsi="Arial"/>
          <w:b/>
          <w:bCs/>
        </w:rPr>
        <w:br w:type="page"/>
      </w:r>
    </w:p>
    <w:p w14:paraId="7169148B" w14:textId="77777777" w:rsidR="00656564" w:rsidRDefault="00656564">
      <w:pPr>
        <w:pStyle w:val="Textkrper"/>
        <w:spacing w:before="120" w:after="120" w:line="260" w:lineRule="exact"/>
        <w:jc w:val="both"/>
        <w:rPr>
          <w:rFonts w:ascii="Arial" w:hAnsi="Arial"/>
          <w:b w:val="0"/>
          <w:bCs w:val="0"/>
        </w:rPr>
      </w:pPr>
    </w:p>
    <w:p w14:paraId="778F9BFA" w14:textId="77777777" w:rsidR="00656564" w:rsidRDefault="00656564">
      <w:pPr>
        <w:pStyle w:val="PITextkrper"/>
        <w:pBdr>
          <w:top w:val="single" w:sz="4" w:space="1" w:color="auto"/>
        </w:pBdr>
        <w:spacing w:before="240"/>
        <w:rPr>
          <w:b/>
          <w:sz w:val="18"/>
          <w:szCs w:val="18"/>
        </w:rPr>
      </w:pPr>
    </w:p>
    <w:p w14:paraId="2E84C2C3" w14:textId="77777777" w:rsidR="007C0CC7" w:rsidRPr="00735520" w:rsidRDefault="007C0CC7" w:rsidP="007C0CC7">
      <w:pPr>
        <w:spacing w:after="120" w:line="280" w:lineRule="exact"/>
        <w:rPr>
          <w:rFonts w:ascii="Arial" w:hAnsi="Arial" w:cs="Arial"/>
          <w:b/>
          <w:bCs/>
          <w:sz w:val="18"/>
          <w:szCs w:val="18"/>
        </w:rPr>
      </w:pPr>
      <w:r w:rsidRPr="00735520">
        <w:rPr>
          <w:rFonts w:ascii="Arial" w:hAnsi="Arial"/>
          <w:b/>
          <w:sz w:val="18"/>
        </w:rPr>
        <w:t>Imágenes disponibles</w:t>
      </w:r>
    </w:p>
    <w:p w14:paraId="36308137" w14:textId="77777777" w:rsidR="007C0CC7" w:rsidRPr="00735520" w:rsidRDefault="007C0CC7" w:rsidP="007C0CC7">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56564" w14:paraId="780BB6ED" w14:textId="77777777">
        <w:trPr>
          <w:trHeight w:val="1701"/>
        </w:trPr>
        <w:tc>
          <w:tcPr>
            <w:tcW w:w="3510" w:type="dxa"/>
          </w:tcPr>
          <w:p w14:paraId="02739A6B" w14:textId="34049F15" w:rsidR="00656564" w:rsidRDefault="007C0CC7">
            <w:pPr>
              <w:pStyle w:val="txt"/>
              <w:rPr>
                <w:b/>
                <w:bCs/>
                <w:sz w:val="18"/>
              </w:rPr>
            </w:pPr>
            <w:r>
              <w:rPr>
                <w:b/>
              </w:rPr>
              <w:br/>
            </w:r>
            <w:r>
              <w:rPr>
                <w:noProof/>
                <w:lang w:eastAsia="zh-TW"/>
              </w:rPr>
              <w:drawing>
                <wp:inline distT="0" distB="0" distL="0" distR="0" wp14:anchorId="147F37AB" wp14:editId="28A1B971">
                  <wp:extent cx="2052000" cy="2052000"/>
                  <wp:effectExtent l="0" t="0" r="5715" b="5715"/>
                  <wp:docPr id="2" name="Bild 1" descr="WE_Family-WR-SMA PCB Solde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_Family-WR-SMA PCB Solderl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sidRPr="00735520">
              <w:rPr>
                <w:bCs/>
                <w:sz w:val="16"/>
                <w:szCs w:val="16"/>
              </w:rPr>
              <w:t xml:space="preserve">Fuente de la imagen: Würth Elektronik </w:t>
            </w:r>
          </w:p>
          <w:p w14:paraId="27F7B0F9" w14:textId="4ED08D8A" w:rsidR="00656564" w:rsidRDefault="007C0CC7">
            <w:pPr>
              <w:autoSpaceDE w:val="0"/>
              <w:autoSpaceDN w:val="0"/>
              <w:adjustRightInd w:val="0"/>
              <w:rPr>
                <w:rFonts w:ascii="Arial" w:hAnsi="Arial" w:cs="Arial"/>
                <w:b/>
                <w:sz w:val="18"/>
                <w:szCs w:val="18"/>
              </w:rPr>
            </w:pPr>
            <w:r>
              <w:rPr>
                <w:rFonts w:ascii="Arial" w:hAnsi="Arial"/>
                <w:b/>
                <w:sz w:val="18"/>
              </w:rPr>
              <w:t>WR-SMA PCB Solderless</w:t>
            </w:r>
            <w:r>
              <w:rPr>
                <w:rFonts w:ascii="Arial" w:hAnsi="Arial"/>
                <w:b/>
                <w:sz w:val="18"/>
              </w:rPr>
              <w:t xml:space="preserve"> son conectores hembra robustos para </w:t>
            </w:r>
            <w:r>
              <w:rPr>
                <w:rFonts w:ascii="Arial" w:hAnsi="Arial"/>
                <w:b/>
                <w:sz w:val="18"/>
              </w:rPr>
              <w:t>líneas</w:t>
            </w:r>
            <w:r>
              <w:rPr>
                <w:rFonts w:ascii="Arial" w:hAnsi="Arial"/>
                <w:b/>
                <w:sz w:val="18"/>
              </w:rPr>
              <w:t xml:space="preserve"> de alta frecuencia de Würth Elektronik.</w:t>
            </w:r>
          </w:p>
          <w:p w14:paraId="644CF97A" w14:textId="77777777" w:rsidR="00656564" w:rsidRDefault="00656564">
            <w:pPr>
              <w:autoSpaceDE w:val="0"/>
              <w:autoSpaceDN w:val="0"/>
              <w:adjustRightInd w:val="0"/>
              <w:rPr>
                <w:rFonts w:ascii="Arial" w:hAnsi="Arial" w:cs="Arial"/>
                <w:b/>
                <w:bCs/>
                <w:sz w:val="18"/>
                <w:szCs w:val="18"/>
              </w:rPr>
            </w:pPr>
          </w:p>
        </w:tc>
      </w:tr>
    </w:tbl>
    <w:p w14:paraId="74759ABB" w14:textId="77777777" w:rsidR="00656564" w:rsidRDefault="00656564">
      <w:pPr>
        <w:pStyle w:val="PITextkrper"/>
        <w:rPr>
          <w:b/>
          <w:bCs/>
          <w:sz w:val="18"/>
          <w:szCs w:val="18"/>
        </w:rPr>
      </w:pPr>
    </w:p>
    <w:p w14:paraId="0523F3DF" w14:textId="77777777" w:rsidR="007C0CC7" w:rsidRPr="00735520" w:rsidRDefault="007C0CC7" w:rsidP="007C0CC7">
      <w:pPr>
        <w:pStyle w:val="Textkrper"/>
        <w:spacing w:before="120" w:after="120" w:line="260" w:lineRule="exact"/>
        <w:jc w:val="both"/>
        <w:rPr>
          <w:rFonts w:ascii="Arial" w:hAnsi="Arial"/>
          <w:b w:val="0"/>
          <w:bCs w:val="0"/>
        </w:rPr>
      </w:pPr>
      <w:bookmarkStart w:id="0" w:name="_Hlk155794191"/>
    </w:p>
    <w:p w14:paraId="4F4F66B0" w14:textId="77777777" w:rsidR="007C0CC7" w:rsidRPr="00735520" w:rsidRDefault="007C0CC7" w:rsidP="007C0CC7">
      <w:pPr>
        <w:pStyle w:val="PITextkrper"/>
        <w:pBdr>
          <w:top w:val="single" w:sz="4" w:space="1" w:color="auto"/>
        </w:pBdr>
        <w:spacing w:before="240"/>
        <w:rPr>
          <w:b/>
          <w:sz w:val="18"/>
          <w:szCs w:val="18"/>
        </w:rPr>
      </w:pPr>
    </w:p>
    <w:p w14:paraId="34233C04" w14:textId="77777777" w:rsidR="007C0CC7" w:rsidRPr="00735520" w:rsidRDefault="007C0CC7" w:rsidP="007C0CC7">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46C22345" w14:textId="77777777" w:rsidR="007C0CC7" w:rsidRPr="00735520" w:rsidRDefault="007C0CC7" w:rsidP="007C0CC7">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0CFE24A" w14:textId="77777777" w:rsidR="007C0CC7" w:rsidRDefault="007C0CC7" w:rsidP="007C0CC7">
      <w:pPr>
        <w:pStyle w:val="Textkrper"/>
        <w:spacing w:before="120" w:after="120" w:line="276" w:lineRule="auto"/>
        <w:jc w:val="both"/>
        <w:rPr>
          <w:rFonts w:ascii="Arial" w:hAnsi="Arial"/>
          <w:b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4892D82A" w14:textId="6BE6BEC7" w:rsidR="007C0CC7" w:rsidRDefault="007C0CC7">
      <w:pPr>
        <w:rPr>
          <w:rFonts w:ascii="Arial" w:hAnsi="Arial" w:cs="Arial"/>
          <w:bCs/>
          <w:sz w:val="20"/>
          <w:szCs w:val="20"/>
        </w:rPr>
      </w:pPr>
      <w:r>
        <w:rPr>
          <w:rFonts w:ascii="Arial" w:hAnsi="Arial"/>
          <w:b/>
        </w:rPr>
        <w:br w:type="page"/>
      </w:r>
    </w:p>
    <w:p w14:paraId="0E31D414" w14:textId="77777777" w:rsidR="007C0CC7" w:rsidRPr="00735520" w:rsidRDefault="007C0CC7" w:rsidP="007C0CC7">
      <w:pPr>
        <w:pStyle w:val="Textkrper"/>
        <w:spacing w:before="120" w:after="120" w:line="276" w:lineRule="auto"/>
        <w:jc w:val="both"/>
        <w:rPr>
          <w:b w:val="0"/>
          <w:bCs w:val="0"/>
        </w:rPr>
      </w:pPr>
    </w:p>
    <w:p w14:paraId="6228EAA7" w14:textId="77777777" w:rsidR="007C0CC7" w:rsidRPr="00735520" w:rsidRDefault="007C0CC7" w:rsidP="007C0CC7">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6BEE43B" w14:textId="77777777" w:rsidR="007C0CC7" w:rsidRPr="00735520" w:rsidRDefault="007C0CC7" w:rsidP="007C0CC7">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744683EC" w14:textId="77777777" w:rsidR="007C0CC7" w:rsidRPr="00163BBC" w:rsidRDefault="007C0CC7" w:rsidP="007C0CC7">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503FE26E" w14:textId="77777777" w:rsidR="007C0CC7" w:rsidRPr="00735520" w:rsidRDefault="007C0CC7" w:rsidP="007C0CC7">
      <w:pPr>
        <w:pStyle w:val="Textkrper"/>
        <w:spacing w:before="120" w:after="120" w:line="276" w:lineRule="auto"/>
        <w:rPr>
          <w:rFonts w:ascii="Arial" w:hAnsi="Arial"/>
        </w:rPr>
      </w:pPr>
      <w:r w:rsidRPr="00735520">
        <w:rPr>
          <w:rFonts w:ascii="Arial" w:hAnsi="Arial"/>
        </w:rPr>
        <w:t>Más información en www.we-online.com</w:t>
      </w:r>
    </w:p>
    <w:p w14:paraId="3DDE6CCE" w14:textId="77777777" w:rsidR="007C0CC7" w:rsidRPr="00735520" w:rsidRDefault="007C0CC7" w:rsidP="007C0CC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7C0CC7" w:rsidRPr="00CA740F" w14:paraId="2853B0C2" w14:textId="77777777" w:rsidTr="0052397A">
        <w:tc>
          <w:tcPr>
            <w:tcW w:w="3902" w:type="dxa"/>
            <w:hideMark/>
          </w:tcPr>
          <w:p w14:paraId="1900E252" w14:textId="77777777" w:rsidR="007C0CC7" w:rsidRPr="00735520" w:rsidRDefault="007C0CC7" w:rsidP="0052397A">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1F72234" w14:textId="77777777" w:rsidR="007C0CC7" w:rsidRPr="00735520" w:rsidRDefault="007C0CC7" w:rsidP="0052397A">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10E80A7F" w14:textId="77777777" w:rsidR="007C0CC7" w:rsidRPr="00735520" w:rsidRDefault="007C0CC7" w:rsidP="0052397A">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30E7694D" w14:textId="77777777" w:rsidR="007C0CC7" w:rsidRPr="00735520" w:rsidRDefault="007C0CC7" w:rsidP="0052397A">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8BF8D88" w14:textId="77777777" w:rsidR="007C0CC7" w:rsidRPr="00735520" w:rsidRDefault="007C0CC7" w:rsidP="0052397A">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7A57D17" w14:textId="77777777" w:rsidR="007C0CC7" w:rsidRPr="00735520" w:rsidRDefault="007C0CC7" w:rsidP="0052397A">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2BC974D" w14:textId="77777777" w:rsidR="007C0CC7" w:rsidRPr="00735520" w:rsidRDefault="007C0CC7" w:rsidP="0052397A">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6805246F" w14:textId="77777777" w:rsidR="007C0CC7" w:rsidRPr="00735520" w:rsidRDefault="007C0CC7" w:rsidP="0052397A">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2DB0D4AD" w14:textId="77777777" w:rsidR="007C0CC7" w:rsidRPr="00735520" w:rsidRDefault="007C0CC7" w:rsidP="007C0CC7">
      <w:pPr>
        <w:pStyle w:val="Textkrper"/>
        <w:spacing w:before="120" w:after="120" w:line="276" w:lineRule="auto"/>
      </w:pPr>
    </w:p>
    <w:bookmarkEnd w:id="0"/>
    <w:p w14:paraId="73DBAE49" w14:textId="77777777" w:rsidR="007C0CC7" w:rsidRPr="00735520" w:rsidRDefault="007C0CC7" w:rsidP="007C0CC7">
      <w:pPr>
        <w:pStyle w:val="Textkrper"/>
        <w:spacing w:before="120" w:after="120" w:line="276" w:lineRule="auto"/>
      </w:pPr>
    </w:p>
    <w:p w14:paraId="1EE9A9CE" w14:textId="77777777" w:rsidR="007C0CC7" w:rsidRDefault="007C0CC7">
      <w:pPr>
        <w:pStyle w:val="PITextkrper"/>
        <w:rPr>
          <w:b/>
          <w:bCs/>
          <w:sz w:val="18"/>
          <w:szCs w:val="18"/>
        </w:rPr>
      </w:pPr>
    </w:p>
    <w:sectPr w:rsidR="007C0CC7">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3B51C" w14:textId="77777777" w:rsidR="00656564" w:rsidRDefault="007C0CC7">
      <w:r>
        <w:separator/>
      </w:r>
    </w:p>
  </w:endnote>
  <w:endnote w:type="continuationSeparator" w:id="0">
    <w:p w14:paraId="510A5C48" w14:textId="77777777" w:rsidR="00656564" w:rsidRDefault="007C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46DE" w14:textId="4E111EBE" w:rsidR="00656564" w:rsidRPr="007C0CC7" w:rsidRDefault="007C0CC7">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rPr>
      <w:fldChar w:fldCharType="begin"/>
    </w:r>
    <w:r w:rsidRPr="007C0CC7">
      <w:rPr>
        <w:rFonts w:ascii="Arial" w:hAnsi="Arial" w:cs="Arial"/>
        <w:snapToGrid w:val="0"/>
        <w:sz w:val="16"/>
        <w:lang w:val="it-IT"/>
      </w:rPr>
      <w:instrText xml:space="preserve"> FILENAME  \* MERGEFORMAT </w:instrText>
    </w:r>
    <w:r>
      <w:rPr>
        <w:rFonts w:ascii="Arial" w:hAnsi="Arial" w:cs="Arial"/>
        <w:snapToGrid w:val="0"/>
        <w:sz w:val="16"/>
      </w:rPr>
      <w:fldChar w:fldCharType="separate"/>
    </w:r>
    <w:r w:rsidRPr="007C0CC7">
      <w:rPr>
        <w:rFonts w:ascii="Arial" w:hAnsi="Arial" w:cs="Arial"/>
        <w:snapToGrid w:val="0"/>
        <w:sz w:val="16"/>
        <w:lang w:val="it-IT"/>
      </w:rPr>
      <w:t>WTH1PI1445_e</w:t>
    </w:r>
    <w:r>
      <w:rPr>
        <w:rFonts w:ascii="Arial" w:hAnsi="Arial" w:cs="Arial"/>
        <w:snapToGrid w:val="0"/>
        <w:sz w:val="16"/>
        <w:lang w:val="it-IT"/>
      </w:rPr>
      <w:t>s</w:t>
    </w:r>
    <w:r w:rsidRPr="007C0CC7">
      <w:rPr>
        <w:rFonts w:ascii="Arial" w:hAnsi="Arial" w:cs="Arial"/>
        <w:snapToGrid w:val="0"/>
        <w:sz w:val="16"/>
        <w:lang w:val="it-IT"/>
      </w:rPr>
      <w:t>.docx</w:t>
    </w:r>
    <w:r>
      <w:rPr>
        <w:rFonts w:ascii="Arial" w:hAnsi="Arial" w:cs="Arial"/>
        <w:snapToGrid w:val="0"/>
        <w:sz w:val="16"/>
      </w:rPr>
      <w:fldChar w:fldCharType="end"/>
    </w:r>
    <w:r w:rsidRPr="007C0CC7">
      <w:rPr>
        <w:rFonts w:ascii="Arial" w:hAnsi="Arial"/>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E3B16" w14:textId="77777777" w:rsidR="00656564" w:rsidRDefault="007C0CC7">
      <w:r>
        <w:separator/>
      </w:r>
    </w:p>
  </w:footnote>
  <w:footnote w:type="continuationSeparator" w:id="0">
    <w:p w14:paraId="7462229E" w14:textId="77777777" w:rsidR="00656564" w:rsidRDefault="007C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DA4CE" w14:textId="77777777" w:rsidR="00656564" w:rsidRDefault="007C0CC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6E346305" wp14:editId="6AC7B6F1">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D5E7D"/>
    <w:multiLevelType w:val="hybridMultilevel"/>
    <w:tmpl w:val="52BA0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3484066">
    <w:abstractNumId w:val="5"/>
  </w:num>
  <w:num w:numId="2" w16cid:durableId="1346323415">
    <w:abstractNumId w:val="2"/>
  </w:num>
  <w:num w:numId="3" w16cid:durableId="869152142">
    <w:abstractNumId w:val="3"/>
  </w:num>
  <w:num w:numId="4" w16cid:durableId="528183998">
    <w:abstractNumId w:val="4"/>
  </w:num>
  <w:num w:numId="5" w16cid:durableId="852761524">
    <w:abstractNumId w:val="0"/>
  </w:num>
  <w:num w:numId="6" w16cid:durableId="1254585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64"/>
    <w:rsid w:val="00656564"/>
    <w:rsid w:val="007C0CC7"/>
    <w:rsid w:val="00DF7CB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21A25"/>
  <w15:chartTrackingRefBased/>
  <w15:docId w15:val="{241D31FD-3E46-49D5-B004-2C9429D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383">
      <w:bodyDiv w:val="1"/>
      <w:marLeft w:val="0"/>
      <w:marRight w:val="0"/>
      <w:marTop w:val="0"/>
      <w:marBottom w:val="0"/>
      <w:divBdr>
        <w:top w:val="none" w:sz="0" w:space="0" w:color="auto"/>
        <w:left w:val="none" w:sz="0" w:space="0" w:color="auto"/>
        <w:bottom w:val="none" w:sz="0" w:space="0" w:color="auto"/>
        <w:right w:val="none" w:sz="0" w:space="0" w:color="auto"/>
      </w:divBdr>
    </w:div>
    <w:div w:id="14778899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4435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448225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5943-715B-4C66-BD48-D4F25D84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4789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2024-08-06T11:31:00Z</dcterms:created>
  <dcterms:modified xsi:type="dcterms:W3CDTF">2024-09-02T14:45:00Z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