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E80D" w14:textId="77777777" w:rsidR="0053230D" w:rsidRDefault="0053230D" w:rsidP="0053230D">
      <w:pPr>
        <w:pStyle w:val="berschrift1"/>
        <w:spacing w:before="720" w:after="720" w:line="260" w:lineRule="exact"/>
        <w:rPr>
          <w:sz w:val="20"/>
        </w:rPr>
      </w:pPr>
      <w:r>
        <w:rPr>
          <w:sz w:val="20"/>
        </w:rPr>
        <w:t>PRESS RELEASE</w:t>
      </w:r>
    </w:p>
    <w:p w14:paraId="10A42DDE" w14:textId="299C933E" w:rsidR="00954F84" w:rsidRDefault="00786524">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presents its high-current inductor for automotive applications</w:t>
      </w:r>
    </w:p>
    <w:p w14:paraId="59B69CAD" w14:textId="77777777" w:rsidR="003019EF" w:rsidRPr="003019EF" w:rsidRDefault="003019EF" w:rsidP="003019EF">
      <w:pPr>
        <w:pStyle w:val="Kopfzeile"/>
        <w:tabs>
          <w:tab w:val="clear" w:pos="4536"/>
          <w:tab w:val="clear" w:pos="9072"/>
        </w:tabs>
        <w:spacing w:before="360" w:after="360"/>
        <w:rPr>
          <w:rFonts w:ascii="Arial" w:hAnsi="Arial" w:cs="Arial"/>
          <w:b/>
          <w:bCs/>
          <w:sz w:val="40"/>
          <w:szCs w:val="40"/>
        </w:rPr>
      </w:pPr>
      <w:r>
        <w:rPr>
          <w:rFonts w:ascii="Arial" w:hAnsi="Arial"/>
          <w:b/>
          <w:sz w:val="40"/>
        </w:rPr>
        <w:t>No Thermal Aging</w:t>
      </w:r>
    </w:p>
    <w:p w14:paraId="263F2F9A" w14:textId="6E6AD5BA" w:rsidR="00954F84" w:rsidRDefault="00786524">
      <w:pPr>
        <w:pStyle w:val="Textkrper"/>
        <w:spacing w:before="120" w:after="120" w:line="260" w:lineRule="exact"/>
        <w:jc w:val="both"/>
        <w:rPr>
          <w:rFonts w:ascii="Arial" w:hAnsi="Arial"/>
          <w:color w:val="000000"/>
        </w:rPr>
      </w:pPr>
      <w:r>
        <w:rPr>
          <w:rFonts w:ascii="Arial" w:hAnsi="Arial"/>
          <w:color w:val="000000"/>
        </w:rPr>
        <w:t>Waldenburg</w:t>
      </w:r>
      <w:r w:rsidR="00F944D8">
        <w:rPr>
          <w:rFonts w:ascii="Arial" w:hAnsi="Arial"/>
          <w:color w:val="000000"/>
        </w:rPr>
        <w:t xml:space="preserve"> (</w:t>
      </w:r>
      <w:r>
        <w:rPr>
          <w:rFonts w:ascii="Arial" w:hAnsi="Arial"/>
          <w:color w:val="000000"/>
        </w:rPr>
        <w:t>Germany</w:t>
      </w:r>
      <w:r w:rsidR="00F944D8">
        <w:rPr>
          <w:rFonts w:ascii="Arial" w:hAnsi="Arial"/>
          <w:color w:val="000000"/>
        </w:rPr>
        <w:t>)</w:t>
      </w:r>
      <w:r>
        <w:rPr>
          <w:rFonts w:ascii="Arial" w:hAnsi="Arial"/>
          <w:color w:val="000000"/>
        </w:rPr>
        <w:t xml:space="preserve">, </w:t>
      </w:r>
      <w:r w:rsidR="00F944D8">
        <w:rPr>
          <w:rFonts w:ascii="Arial" w:hAnsi="Arial"/>
          <w:color w:val="000000"/>
        </w:rPr>
        <w:t>July</w:t>
      </w:r>
      <w:r>
        <w:rPr>
          <w:rFonts w:ascii="Arial" w:hAnsi="Arial"/>
          <w:color w:val="000000"/>
        </w:rPr>
        <w:t xml:space="preserve"> </w:t>
      </w:r>
      <w:r w:rsidR="00F944D8">
        <w:rPr>
          <w:rFonts w:ascii="Arial" w:hAnsi="Arial"/>
          <w:color w:val="000000"/>
        </w:rPr>
        <w:t>25</w:t>
      </w:r>
      <w:r>
        <w:rPr>
          <w:rFonts w:ascii="Arial" w:hAnsi="Arial"/>
          <w:color w:val="000000"/>
        </w:rPr>
        <w:t xml:space="preserve">, 2024 – Würth </w:t>
      </w:r>
      <w:proofErr w:type="spellStart"/>
      <w:r>
        <w:rPr>
          <w:rFonts w:ascii="Arial" w:hAnsi="Arial"/>
          <w:color w:val="000000"/>
        </w:rPr>
        <w:t>Elektronik</w:t>
      </w:r>
      <w:proofErr w:type="spellEnd"/>
      <w:r>
        <w:rPr>
          <w:rFonts w:ascii="Arial" w:hAnsi="Arial"/>
          <w:color w:val="000000"/>
        </w:rPr>
        <w:t xml:space="preserve"> offers</w:t>
      </w:r>
      <w:r w:rsidR="00CE0A26">
        <w:rPr>
          <w:rFonts w:ascii="Arial" w:hAnsi="Arial"/>
          <w:color w:val="000000"/>
        </w:rPr>
        <w:t xml:space="preserve"> </w:t>
      </w:r>
      <w:hyperlink r:id="rId8" w:history="1">
        <w:r>
          <w:rPr>
            <w:rStyle w:val="Hyperlink"/>
            <w:rFonts w:ascii="Arial" w:hAnsi="Arial"/>
          </w:rPr>
          <w:t>WE-LHCA</w:t>
        </w:r>
      </w:hyperlink>
      <w:r>
        <w:rPr>
          <w:rFonts w:ascii="Arial" w:hAnsi="Arial"/>
          <w:color w:val="000000"/>
        </w:rPr>
        <w:t xml:space="preserve"> (Low Profile High Current Automotive Inductor) – a particularly flat and </w:t>
      </w:r>
      <w:r w:rsidR="0012506F" w:rsidRPr="0012506F">
        <w:rPr>
          <w:rFonts w:ascii="Arial" w:hAnsi="Arial"/>
          <w:color w:val="000000"/>
        </w:rPr>
        <w:t>temperature-tough</w:t>
      </w:r>
      <w:r w:rsidR="0012506F">
        <w:rPr>
          <w:rFonts w:ascii="Arial" w:hAnsi="Arial"/>
          <w:color w:val="000000"/>
        </w:rPr>
        <w:t xml:space="preserve"> </w:t>
      </w:r>
      <w:r>
        <w:rPr>
          <w:rFonts w:ascii="Arial" w:hAnsi="Arial"/>
          <w:color w:val="000000"/>
        </w:rPr>
        <w:t xml:space="preserve">inductor in four </w:t>
      </w:r>
      <w:r w:rsidR="00440934">
        <w:rPr>
          <w:rFonts w:ascii="Arial" w:hAnsi="Arial"/>
          <w:color w:val="000000"/>
        </w:rPr>
        <w:t xml:space="preserve">sizes </w:t>
      </w:r>
      <w:r>
        <w:rPr>
          <w:rFonts w:ascii="Arial" w:hAnsi="Arial"/>
          <w:color w:val="000000"/>
        </w:rPr>
        <w:t xml:space="preserve">with different inductance values. The power inductors are designed for an extended temperature range </w:t>
      </w:r>
      <w:r w:rsidR="00701276">
        <w:rPr>
          <w:rFonts w:ascii="Arial" w:hAnsi="Arial"/>
          <w:color w:val="000000"/>
        </w:rPr>
        <w:br/>
      </w:r>
      <w:r>
        <w:rPr>
          <w:rFonts w:ascii="Arial" w:hAnsi="Arial"/>
          <w:color w:val="000000"/>
        </w:rPr>
        <w:t>of -55 to +155°C and are constructed to avoid thermal degradation. The AEC-Q200-certified inductor is suitable for applications such as high-current power supplies, start-stop systems, power distribution modules, on-board chargers, infotainment or HVAC systems.</w:t>
      </w:r>
    </w:p>
    <w:p w14:paraId="6111E97B" w14:textId="537DA182" w:rsidR="00954F84" w:rsidRDefault="00786524">
      <w:pPr>
        <w:pStyle w:val="Textkrper"/>
        <w:spacing w:before="120" w:after="120" w:line="260" w:lineRule="exact"/>
        <w:jc w:val="both"/>
        <w:rPr>
          <w:rFonts w:ascii="Arial" w:hAnsi="Arial"/>
          <w:b w:val="0"/>
          <w:bCs w:val="0"/>
        </w:rPr>
      </w:pPr>
      <w:r>
        <w:rPr>
          <w:rFonts w:ascii="Arial" w:hAnsi="Arial"/>
          <w:b w:val="0"/>
        </w:rPr>
        <w:t xml:space="preserve">The WE-LHCA inductor family comprises </w:t>
      </w:r>
      <w:r w:rsidR="00FF79A7">
        <w:rPr>
          <w:rFonts w:ascii="Arial" w:hAnsi="Arial"/>
          <w:b w:val="0"/>
        </w:rPr>
        <w:t>the following sizes</w:t>
      </w:r>
      <w:r>
        <w:rPr>
          <w:rFonts w:ascii="Arial" w:hAnsi="Arial"/>
          <w:b w:val="0"/>
        </w:rPr>
        <w:t xml:space="preserve">: 7030 (L = 0.47-22 µH), 1040 (L = 1-68 µH), 1365 (L = 1-47 µH) and 1770 (L = 4.7-82 µH).  </w:t>
      </w:r>
      <w:r w:rsidR="00FF79A7">
        <w:rPr>
          <w:rFonts w:ascii="Arial" w:hAnsi="Arial"/>
          <w:b w:val="0"/>
        </w:rPr>
        <w:t xml:space="preserve">These </w:t>
      </w:r>
      <w:r>
        <w:rPr>
          <w:rFonts w:ascii="Arial" w:hAnsi="Arial"/>
          <w:b w:val="0"/>
        </w:rPr>
        <w:t>components feature a low-profile shielded construction with a distributed air gap in iron alloy powder.</w:t>
      </w:r>
    </w:p>
    <w:p w14:paraId="0736F8EA" w14:textId="5F8B79FE" w:rsidR="00954F84" w:rsidRDefault="00786524">
      <w:pPr>
        <w:pStyle w:val="Textkrper"/>
        <w:spacing w:before="120" w:after="120" w:line="260" w:lineRule="exact"/>
        <w:jc w:val="both"/>
        <w:rPr>
          <w:rFonts w:ascii="Arial" w:hAnsi="Arial"/>
          <w:b w:val="0"/>
          <w:bCs w:val="0"/>
        </w:rPr>
      </w:pPr>
      <w:r>
        <w:rPr>
          <w:rFonts w:ascii="Arial" w:hAnsi="Arial"/>
          <w:b w:val="0"/>
        </w:rPr>
        <w:t xml:space="preserve">The high-current inductors are available from stock. Würth </w:t>
      </w:r>
      <w:proofErr w:type="spellStart"/>
      <w:r>
        <w:rPr>
          <w:rFonts w:ascii="Arial" w:hAnsi="Arial"/>
          <w:b w:val="0"/>
        </w:rPr>
        <w:t>Elektronik</w:t>
      </w:r>
      <w:proofErr w:type="spellEnd"/>
      <w:r>
        <w:rPr>
          <w:rFonts w:ascii="Arial" w:hAnsi="Arial"/>
          <w:b w:val="0"/>
        </w:rPr>
        <w:t xml:space="preserve"> provides developers with free samples.</w:t>
      </w:r>
    </w:p>
    <w:p w14:paraId="62F7EBB1" w14:textId="77777777" w:rsidR="00954F84" w:rsidRDefault="00954F84">
      <w:pPr>
        <w:pStyle w:val="Textkrper"/>
        <w:spacing w:before="120" w:after="120" w:line="260" w:lineRule="exact"/>
        <w:jc w:val="both"/>
        <w:rPr>
          <w:rFonts w:ascii="Arial" w:hAnsi="Arial"/>
          <w:color w:val="000000"/>
        </w:rPr>
      </w:pPr>
    </w:p>
    <w:p w14:paraId="5C19D877" w14:textId="77777777" w:rsidR="00954F84" w:rsidRDefault="00954F84">
      <w:pPr>
        <w:pStyle w:val="Textkrper"/>
        <w:spacing w:before="120" w:after="120" w:line="260" w:lineRule="exact"/>
        <w:jc w:val="both"/>
        <w:rPr>
          <w:rFonts w:ascii="Arial" w:hAnsi="Arial"/>
          <w:b w:val="0"/>
          <w:bCs w:val="0"/>
        </w:rPr>
      </w:pPr>
    </w:p>
    <w:p w14:paraId="66922E09" w14:textId="77777777" w:rsidR="00954F84" w:rsidRPr="00CE0A26" w:rsidRDefault="00954F84">
      <w:pPr>
        <w:pStyle w:val="PITextkrper"/>
        <w:pBdr>
          <w:top w:val="single" w:sz="4" w:space="1" w:color="auto"/>
        </w:pBdr>
        <w:spacing w:before="240"/>
        <w:rPr>
          <w:b/>
          <w:sz w:val="18"/>
          <w:szCs w:val="18"/>
        </w:rPr>
      </w:pPr>
    </w:p>
    <w:p w14:paraId="770AD8D7" w14:textId="77777777" w:rsidR="0012506F" w:rsidRPr="00A91DDF" w:rsidRDefault="0012506F" w:rsidP="0012506F">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56FFBD6" w14:textId="7D80EFA3" w:rsidR="00954F84" w:rsidRPr="0012506F" w:rsidRDefault="0012506F">
      <w:pPr>
        <w:spacing w:after="120" w:line="280" w:lineRule="exact"/>
        <w:rPr>
          <w:rFonts w:ascii="Arial" w:hAnsi="Arial" w:cs="Arial"/>
          <w:color w:val="0000FF"/>
          <w:sz w:val="18"/>
          <w:szCs w:val="18"/>
          <w:u w:val="single"/>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rPr>
          <w:t>https://kk.htcm.de/press-releases/wuerth/</w:t>
        </w:r>
      </w:hyperlink>
    </w:p>
    <w:tbl>
      <w:tblPr>
        <w:tblW w:w="54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20"/>
      </w:tblGrid>
      <w:tr w:rsidR="00954F84" w14:paraId="0ECD60AE" w14:textId="77777777">
        <w:trPr>
          <w:trHeight w:val="1701"/>
        </w:trPr>
        <w:tc>
          <w:tcPr>
            <w:tcW w:w="5420" w:type="dxa"/>
          </w:tcPr>
          <w:p w14:paraId="441D31CF" w14:textId="77777777" w:rsidR="00954F84" w:rsidRDefault="00786524">
            <w:pPr>
              <w:pStyle w:val="txt"/>
              <w:rPr>
                <w:b/>
                <w:bCs/>
                <w:sz w:val="18"/>
              </w:rPr>
            </w:pPr>
            <w:r>
              <w:rPr>
                <w:noProof/>
              </w:rPr>
              <w:drawing>
                <wp:anchor distT="0" distB="0" distL="114300" distR="114300" simplePos="0" relativeHeight="251657728" behindDoc="0" locked="0" layoutInCell="1" allowOverlap="1" wp14:anchorId="6935C810" wp14:editId="4F48F7B0">
                  <wp:simplePos x="0" y="0"/>
                  <wp:positionH relativeFrom="margin">
                    <wp:posOffset>0</wp:posOffset>
                  </wp:positionH>
                  <wp:positionV relativeFrom="margin">
                    <wp:posOffset>133350</wp:posOffset>
                  </wp:positionV>
                  <wp:extent cx="1613535" cy="1613535"/>
                  <wp:effectExtent l="0" t="0" r="0" b="0"/>
                  <wp:wrapSquare wrapText="bothSides"/>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3535" cy="1613535"/>
                          </a:xfrm>
                          <a:prstGeom prst="rect">
                            <a:avLst/>
                          </a:prstGeom>
                          <a:noFill/>
                        </pic:spPr>
                      </pic:pic>
                    </a:graphicData>
                  </a:graphic>
                  <wp14:sizeRelH relativeFrom="page">
                    <wp14:pctWidth>0</wp14:pctWidth>
                  </wp14:sizeRelH>
                  <wp14:sizeRelV relativeFrom="page">
                    <wp14:pctHeight>0</wp14:pctHeight>
                  </wp14:sizeRelV>
                </wp:anchor>
              </w:drawing>
            </w:r>
            <w:r>
              <w:rPr>
                <w:b/>
              </w:rPr>
              <w:br/>
            </w:r>
          </w:p>
          <w:p w14:paraId="2F0CAFB6" w14:textId="2032A073" w:rsidR="00954F84" w:rsidRDefault="00786524">
            <w:pPr>
              <w:autoSpaceDE w:val="0"/>
              <w:autoSpaceDN w:val="0"/>
              <w:adjustRightInd w:val="0"/>
              <w:rPr>
                <w:rFonts w:ascii="Arial" w:hAnsi="Arial" w:cs="Arial"/>
                <w:b/>
                <w:sz w:val="18"/>
                <w:szCs w:val="18"/>
              </w:rPr>
            </w:pPr>
            <w:r>
              <w:rPr>
                <w:rFonts w:ascii="Arial" w:hAnsi="Arial"/>
                <w:b/>
                <w:sz w:val="18"/>
              </w:rPr>
              <w:t xml:space="preserve">WE-LHCA: </w:t>
            </w:r>
            <w:r w:rsidR="0012506F" w:rsidRPr="0012506F">
              <w:rPr>
                <w:rFonts w:ascii="Arial" w:hAnsi="Arial"/>
                <w:b/>
                <w:sz w:val="18"/>
              </w:rPr>
              <w:t>temperature-tough</w:t>
            </w:r>
            <w:r w:rsidR="0012506F">
              <w:rPr>
                <w:rFonts w:ascii="Arial" w:hAnsi="Arial"/>
                <w:b/>
                <w:sz w:val="18"/>
              </w:rPr>
              <w:t xml:space="preserve"> </w:t>
            </w:r>
            <w:r>
              <w:rPr>
                <w:rFonts w:ascii="Arial" w:hAnsi="Arial"/>
                <w:b/>
                <w:sz w:val="18"/>
              </w:rPr>
              <w:t xml:space="preserve">high-current inductor </w:t>
            </w:r>
          </w:p>
          <w:p w14:paraId="14BDA6F8" w14:textId="77777777" w:rsidR="00954F84" w:rsidRDefault="00954F84">
            <w:pPr>
              <w:autoSpaceDE w:val="0"/>
              <w:autoSpaceDN w:val="0"/>
              <w:adjustRightInd w:val="0"/>
              <w:rPr>
                <w:rFonts w:ascii="Arial" w:hAnsi="Arial" w:cs="Arial"/>
                <w:b/>
                <w:sz w:val="18"/>
                <w:szCs w:val="18"/>
              </w:rPr>
            </w:pPr>
          </w:p>
          <w:p w14:paraId="4ABB475E" w14:textId="77777777" w:rsidR="00954F84" w:rsidRDefault="00786524">
            <w:pPr>
              <w:pStyle w:val="txt"/>
              <w:rPr>
                <w:b/>
                <w:bCs/>
                <w:sz w:val="18"/>
              </w:rPr>
            </w:pPr>
            <w:r>
              <w:rPr>
                <w:sz w:val="16"/>
              </w:rPr>
              <w:t xml:space="preserve">Image source: Würth </w:t>
            </w:r>
            <w:proofErr w:type="spellStart"/>
            <w:r>
              <w:rPr>
                <w:sz w:val="16"/>
              </w:rPr>
              <w:t>Elektronik</w:t>
            </w:r>
            <w:proofErr w:type="spellEnd"/>
            <w:r>
              <w:rPr>
                <w:sz w:val="16"/>
              </w:rPr>
              <w:t xml:space="preserve"> </w:t>
            </w:r>
          </w:p>
          <w:p w14:paraId="0DADC1BC" w14:textId="77777777" w:rsidR="00954F84" w:rsidRDefault="00954F84">
            <w:pPr>
              <w:autoSpaceDE w:val="0"/>
              <w:autoSpaceDN w:val="0"/>
              <w:adjustRightInd w:val="0"/>
              <w:rPr>
                <w:rFonts w:ascii="Arial" w:hAnsi="Arial" w:cs="Arial"/>
                <w:b/>
                <w:sz w:val="18"/>
                <w:szCs w:val="18"/>
              </w:rPr>
            </w:pPr>
          </w:p>
          <w:p w14:paraId="5DEE01F1" w14:textId="77777777" w:rsidR="00954F84" w:rsidRDefault="00954F84">
            <w:pPr>
              <w:autoSpaceDE w:val="0"/>
              <w:autoSpaceDN w:val="0"/>
              <w:adjustRightInd w:val="0"/>
              <w:rPr>
                <w:rFonts w:ascii="Arial" w:hAnsi="Arial" w:cs="Arial"/>
                <w:b/>
                <w:bCs/>
                <w:sz w:val="18"/>
                <w:szCs w:val="18"/>
              </w:rPr>
            </w:pPr>
          </w:p>
        </w:tc>
      </w:tr>
    </w:tbl>
    <w:p w14:paraId="7802BCCA" w14:textId="77777777" w:rsidR="00954F84" w:rsidRDefault="00954F84">
      <w:pPr>
        <w:pStyle w:val="PITextkrper"/>
        <w:rPr>
          <w:b/>
          <w:bCs/>
          <w:sz w:val="18"/>
          <w:szCs w:val="18"/>
          <w:lang w:val="de-DE"/>
        </w:rPr>
      </w:pPr>
    </w:p>
    <w:p w14:paraId="1C117976" w14:textId="77777777" w:rsidR="00954F84" w:rsidRDefault="00954F84">
      <w:pPr>
        <w:pStyle w:val="Textkrper"/>
        <w:spacing w:before="120" w:after="120" w:line="260" w:lineRule="exact"/>
        <w:jc w:val="both"/>
        <w:rPr>
          <w:rFonts w:ascii="Arial" w:hAnsi="Arial"/>
          <w:b w:val="0"/>
          <w:bCs w:val="0"/>
        </w:rPr>
      </w:pPr>
    </w:p>
    <w:p w14:paraId="656D62E1" w14:textId="77777777" w:rsidR="00954F84" w:rsidRDefault="00954F84">
      <w:pPr>
        <w:pStyle w:val="PITextkrper"/>
        <w:pBdr>
          <w:top w:val="single" w:sz="4" w:space="1" w:color="auto"/>
        </w:pBdr>
        <w:spacing w:before="240"/>
        <w:rPr>
          <w:b/>
          <w:sz w:val="18"/>
          <w:szCs w:val="18"/>
          <w:lang w:val="de-DE"/>
        </w:rPr>
      </w:pPr>
    </w:p>
    <w:p w14:paraId="01BEE670" w14:textId="77777777" w:rsidR="0012506F" w:rsidRDefault="0012506F" w:rsidP="0012506F">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139B04FF" w14:textId="77777777" w:rsidR="0012506F" w:rsidRDefault="0012506F" w:rsidP="0012506F">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3D1B67DB" w14:textId="77777777" w:rsidR="0012506F" w:rsidRDefault="0012506F" w:rsidP="0012506F">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5F6C1665" w14:textId="77777777" w:rsidR="0012506F" w:rsidRDefault="0012506F" w:rsidP="0012506F">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0A418BA" w14:textId="77777777" w:rsidR="0012506F" w:rsidRDefault="0012506F" w:rsidP="0012506F">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425570F6" w14:textId="77777777" w:rsidR="0012506F" w:rsidRDefault="0012506F" w:rsidP="0012506F">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62DB5B97" w14:textId="77777777" w:rsidR="0012506F" w:rsidRDefault="0012506F" w:rsidP="0012506F">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1455A1F9" w14:textId="77777777" w:rsidR="0012506F" w:rsidRDefault="0012506F" w:rsidP="0012506F">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2506F" w14:paraId="0565B10A" w14:textId="77777777" w:rsidTr="00F72256">
        <w:tc>
          <w:tcPr>
            <w:tcW w:w="3902" w:type="dxa"/>
            <w:shd w:val="clear" w:color="auto" w:fill="auto"/>
            <w:hideMark/>
          </w:tcPr>
          <w:p w14:paraId="3433996F" w14:textId="77777777" w:rsidR="0012506F" w:rsidRPr="00701276" w:rsidRDefault="0012506F" w:rsidP="00F72256">
            <w:pPr>
              <w:pStyle w:val="Textkrper"/>
              <w:autoSpaceDE/>
              <w:adjustRightInd/>
              <w:spacing w:before="120" w:after="120" w:line="276" w:lineRule="auto"/>
              <w:rPr>
                <w:rFonts w:ascii="Arial" w:hAnsi="Arial"/>
                <w:bCs w:val="0"/>
                <w:szCs w:val="24"/>
                <w:lang w:val="de-DE"/>
              </w:rPr>
            </w:pPr>
            <w:r w:rsidRPr="00701276">
              <w:rPr>
                <w:lang w:val="de-DE"/>
              </w:rPr>
              <w:br w:type="page"/>
            </w:r>
            <w:r w:rsidRPr="00701276">
              <w:rPr>
                <w:rFonts w:ascii="Arial" w:hAnsi="Arial"/>
                <w:bCs w:val="0"/>
                <w:szCs w:val="24"/>
                <w:lang w:val="de-DE"/>
              </w:rPr>
              <w:t>Further information:</w:t>
            </w:r>
          </w:p>
          <w:p w14:paraId="3A921835" w14:textId="77777777" w:rsidR="0012506F" w:rsidRDefault="0012506F" w:rsidP="00F72256">
            <w:pPr>
              <w:spacing w:before="120" w:after="120" w:line="276" w:lineRule="auto"/>
              <w:rPr>
                <w:rFonts w:ascii="Arial" w:hAnsi="Arial" w:cs="Arial"/>
                <w:sz w:val="20"/>
              </w:rPr>
            </w:pPr>
            <w:r w:rsidRPr="00701276">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11B77DC7" w14:textId="77777777" w:rsidR="0012506F" w:rsidRDefault="0012506F" w:rsidP="00F72256">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760EA93" w14:textId="77777777" w:rsidR="0012506F" w:rsidRDefault="00701276" w:rsidP="00F72256">
            <w:pPr>
              <w:spacing w:before="120" w:after="120" w:line="276" w:lineRule="auto"/>
              <w:rPr>
                <w:rFonts w:ascii="Arial" w:hAnsi="Arial" w:cs="Arial"/>
                <w:bCs/>
                <w:sz w:val="20"/>
              </w:rPr>
            </w:pPr>
            <w:hyperlink r:id="rId13" w:history="1">
              <w:r w:rsidR="0012506F">
                <w:rPr>
                  <w:rStyle w:val="Hyperlink"/>
                  <w:rFonts w:ascii="Arial" w:hAnsi="Arial"/>
                  <w:bCs/>
                  <w:sz w:val="20"/>
                </w:rPr>
                <w:t>www.we-online.com</w:t>
              </w:r>
            </w:hyperlink>
            <w:r w:rsidR="0012506F">
              <w:rPr>
                <w:rFonts w:ascii="Arial" w:hAnsi="Arial"/>
                <w:bCs/>
                <w:sz w:val="20"/>
              </w:rPr>
              <w:t xml:space="preserve"> </w:t>
            </w:r>
          </w:p>
          <w:p w14:paraId="6C13D47A" w14:textId="77777777" w:rsidR="0012506F" w:rsidRDefault="0012506F" w:rsidP="00F72256">
            <w:pPr>
              <w:spacing w:before="120" w:after="120" w:line="276" w:lineRule="auto"/>
              <w:rPr>
                <w:rFonts w:ascii="Arial" w:hAnsi="Arial" w:cs="Arial"/>
                <w:bCs/>
                <w:sz w:val="20"/>
              </w:rPr>
            </w:pPr>
          </w:p>
        </w:tc>
        <w:tc>
          <w:tcPr>
            <w:tcW w:w="3193" w:type="dxa"/>
            <w:shd w:val="clear" w:color="auto" w:fill="auto"/>
            <w:hideMark/>
          </w:tcPr>
          <w:p w14:paraId="4FCB4CAC" w14:textId="77777777" w:rsidR="0012506F" w:rsidRDefault="0012506F" w:rsidP="00F72256">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4549422B" w14:textId="77777777" w:rsidR="0012506F" w:rsidRDefault="0012506F" w:rsidP="00F72256">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67C43BD" w14:textId="77777777" w:rsidR="0012506F" w:rsidRDefault="0012506F" w:rsidP="00F7225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083F7484" w14:textId="77777777" w:rsidR="0012506F" w:rsidRDefault="00701276" w:rsidP="00F72256">
            <w:pPr>
              <w:tabs>
                <w:tab w:val="left" w:pos="1065"/>
              </w:tabs>
              <w:spacing w:before="120" w:after="120" w:line="276" w:lineRule="auto"/>
              <w:rPr>
                <w:rFonts w:ascii="Arial" w:hAnsi="Arial" w:cs="Arial"/>
                <w:bCs/>
                <w:sz w:val="20"/>
              </w:rPr>
            </w:pPr>
            <w:hyperlink r:id="rId15" w:history="1">
              <w:r w:rsidR="0012506F">
                <w:rPr>
                  <w:rStyle w:val="Hyperlink"/>
                  <w:rFonts w:ascii="Arial" w:hAnsi="Arial"/>
                  <w:bCs/>
                  <w:sz w:val="20"/>
                </w:rPr>
                <w:t>www.htcm.de</w:t>
              </w:r>
            </w:hyperlink>
            <w:r w:rsidR="0012506F">
              <w:rPr>
                <w:rFonts w:ascii="Arial" w:hAnsi="Arial"/>
                <w:bCs/>
                <w:sz w:val="20"/>
              </w:rPr>
              <w:t xml:space="preserve">  </w:t>
            </w:r>
          </w:p>
        </w:tc>
      </w:tr>
    </w:tbl>
    <w:p w14:paraId="31C934E1" w14:textId="77777777" w:rsidR="00305CA2" w:rsidRDefault="00305CA2" w:rsidP="00305CA2">
      <w:pPr>
        <w:pStyle w:val="Textkrper"/>
        <w:spacing w:before="120" w:after="120" w:line="260" w:lineRule="exact"/>
      </w:pPr>
    </w:p>
    <w:p w14:paraId="0EFE6146" w14:textId="77777777" w:rsidR="00305CA2" w:rsidRDefault="00305CA2" w:rsidP="00305CA2">
      <w:pPr>
        <w:pStyle w:val="Textkrper"/>
        <w:spacing w:before="120" w:after="120" w:line="260" w:lineRule="exact"/>
        <w:jc w:val="both"/>
        <w:rPr>
          <w:rFonts w:ascii="Calibri" w:hAnsi="Calibri" w:cs="Calibri"/>
          <w:sz w:val="22"/>
          <w:szCs w:val="22"/>
        </w:rPr>
      </w:pPr>
    </w:p>
    <w:p w14:paraId="4CF77606" w14:textId="77777777" w:rsidR="0012506F" w:rsidRPr="0012506F" w:rsidRDefault="0012506F" w:rsidP="00305CA2">
      <w:pPr>
        <w:pStyle w:val="Textkrper"/>
        <w:spacing w:before="120" w:after="120" w:line="260" w:lineRule="exact"/>
        <w:rPr>
          <w:bCs w:val="0"/>
          <w:sz w:val="18"/>
          <w:szCs w:val="18"/>
          <w:lang w:val="de-DE"/>
        </w:rPr>
      </w:pPr>
    </w:p>
    <w:sectPr w:rsidR="0012506F" w:rsidRPr="0012506F">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C29E1" w14:textId="77777777" w:rsidR="00FC3199" w:rsidRDefault="00FC3199">
      <w:r>
        <w:separator/>
      </w:r>
    </w:p>
  </w:endnote>
  <w:endnote w:type="continuationSeparator" w:id="0">
    <w:p w14:paraId="3BEE9B2B" w14:textId="77777777" w:rsidR="00FC3199" w:rsidRDefault="00FC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D451C" w14:textId="51422475" w:rsidR="00954F84" w:rsidRPr="0012506F" w:rsidRDefault="0012506F">
    <w:pPr>
      <w:pStyle w:val="Fuzeile"/>
      <w:tabs>
        <w:tab w:val="clear" w:pos="4536"/>
        <w:tab w:val="clear" w:pos="9072"/>
        <w:tab w:val="right" w:pos="7088"/>
      </w:tabs>
      <w:rPr>
        <w:rFonts w:ascii="Arial" w:hAnsi="Arial" w:cs="Arial"/>
        <w:noProof/>
        <w:snapToGrid w:val="0"/>
        <w:sz w:val="16"/>
        <w:szCs w:val="16"/>
        <w:lang w:val="pl-PL"/>
      </w:rPr>
    </w:pPr>
    <w:r>
      <w:rPr>
        <w:rFonts w:ascii="Arial" w:hAnsi="Arial" w:cs="Arial"/>
        <w:snapToGrid w:val="0"/>
        <w:sz w:val="16"/>
      </w:rPr>
      <w:fldChar w:fldCharType="begin"/>
    </w:r>
    <w:r w:rsidRPr="0012506F">
      <w:rPr>
        <w:rFonts w:ascii="Arial" w:hAnsi="Arial" w:cs="Arial"/>
        <w:snapToGrid w:val="0"/>
        <w:sz w:val="16"/>
        <w:lang w:val="pl-PL"/>
      </w:rPr>
      <w:instrText xml:space="preserve"> FILENAME  \* MERGEFORMAT </w:instrText>
    </w:r>
    <w:r>
      <w:rPr>
        <w:rFonts w:ascii="Arial" w:hAnsi="Arial" w:cs="Arial"/>
        <w:snapToGrid w:val="0"/>
        <w:sz w:val="16"/>
      </w:rPr>
      <w:fldChar w:fldCharType="separate"/>
    </w:r>
    <w:r w:rsidRPr="0012506F">
      <w:rPr>
        <w:rFonts w:ascii="Arial" w:hAnsi="Arial" w:cs="Arial"/>
        <w:snapToGrid w:val="0"/>
        <w:sz w:val="16"/>
        <w:lang w:val="pl-PL"/>
      </w:rPr>
      <w:t>WTH1PI1514</w:t>
    </w:r>
    <w:r>
      <w:rPr>
        <w:rFonts w:ascii="Arial" w:hAnsi="Arial" w:cs="Arial"/>
        <w:snapToGrid w:val="0"/>
        <w:sz w:val="16"/>
        <w:lang w:val="pl-PL"/>
      </w:rPr>
      <w:t>_en</w:t>
    </w:r>
    <w:r w:rsidRPr="0012506F">
      <w:rPr>
        <w:rFonts w:ascii="Arial" w:hAnsi="Arial" w:cs="Arial"/>
        <w:snapToGrid w:val="0"/>
        <w:sz w:val="16"/>
        <w:lang w:val="pl-PL"/>
      </w:rPr>
      <w:t>.docx</w:t>
    </w:r>
    <w:r>
      <w:rPr>
        <w:rFonts w:ascii="Arial" w:hAnsi="Arial" w:cs="Arial"/>
        <w:snapToGrid w:val="0"/>
        <w:sz w:val="16"/>
      </w:rPr>
      <w:fldChar w:fldCharType="end"/>
    </w:r>
    <w:r w:rsidR="00786524" w:rsidRPr="0012506F">
      <w:rPr>
        <w:rFonts w:ascii="Arial" w:hAnsi="Arial"/>
        <w:snapToGrid w:val="0"/>
        <w:sz w:val="16"/>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86C29" w14:textId="77777777" w:rsidR="00FC3199" w:rsidRDefault="00FC3199">
      <w:r>
        <w:separator/>
      </w:r>
    </w:p>
  </w:footnote>
  <w:footnote w:type="continuationSeparator" w:id="0">
    <w:p w14:paraId="0A043775" w14:textId="77777777" w:rsidR="00FC3199" w:rsidRDefault="00FC3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D1C3A" w14:textId="77777777" w:rsidR="00954F84" w:rsidRDefault="00786524">
    <w:pPr>
      <w:pStyle w:val="Kopfzeile"/>
      <w:tabs>
        <w:tab w:val="clear" w:pos="9072"/>
        <w:tab w:val="right" w:pos="9498"/>
      </w:tabs>
    </w:pPr>
    <w:r>
      <w:rPr>
        <w:noProof/>
      </w:rPr>
      <w:drawing>
        <wp:anchor distT="0" distB="0" distL="114300" distR="114300" simplePos="0" relativeHeight="251657728" behindDoc="1" locked="0" layoutInCell="0" allowOverlap="1" wp14:anchorId="600B5A6F" wp14:editId="2E99435F">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2859797">
    <w:abstractNumId w:val="4"/>
  </w:num>
  <w:num w:numId="2" w16cid:durableId="631332017">
    <w:abstractNumId w:val="1"/>
  </w:num>
  <w:num w:numId="3" w16cid:durableId="1028750860">
    <w:abstractNumId w:val="2"/>
  </w:num>
  <w:num w:numId="4" w16cid:durableId="1346397828">
    <w:abstractNumId w:val="3"/>
  </w:num>
  <w:num w:numId="5" w16cid:durableId="757554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F84"/>
    <w:rsid w:val="000025FE"/>
    <w:rsid w:val="00050C3E"/>
    <w:rsid w:val="000B4932"/>
    <w:rsid w:val="0012506F"/>
    <w:rsid w:val="001259BB"/>
    <w:rsid w:val="00163A6F"/>
    <w:rsid w:val="00263CEE"/>
    <w:rsid w:val="003019EF"/>
    <w:rsid w:val="00305CA2"/>
    <w:rsid w:val="003360A5"/>
    <w:rsid w:val="003B2935"/>
    <w:rsid w:val="003D198B"/>
    <w:rsid w:val="004144D3"/>
    <w:rsid w:val="00440934"/>
    <w:rsid w:val="00531043"/>
    <w:rsid w:val="0053230D"/>
    <w:rsid w:val="00631B71"/>
    <w:rsid w:val="00701276"/>
    <w:rsid w:val="007643D1"/>
    <w:rsid w:val="00786524"/>
    <w:rsid w:val="00803D67"/>
    <w:rsid w:val="00820B9D"/>
    <w:rsid w:val="00835C1F"/>
    <w:rsid w:val="00877778"/>
    <w:rsid w:val="00904390"/>
    <w:rsid w:val="0092264B"/>
    <w:rsid w:val="00954F84"/>
    <w:rsid w:val="00970F15"/>
    <w:rsid w:val="00A312A3"/>
    <w:rsid w:val="00A6166B"/>
    <w:rsid w:val="00AF59F4"/>
    <w:rsid w:val="00B03803"/>
    <w:rsid w:val="00CE0A26"/>
    <w:rsid w:val="00CF1483"/>
    <w:rsid w:val="00D16799"/>
    <w:rsid w:val="00D24805"/>
    <w:rsid w:val="00F944D8"/>
    <w:rsid w:val="00FC3199"/>
    <w:rsid w:val="00FF4099"/>
    <w:rsid w:val="00FF79A7"/>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BDCE9"/>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 w:type="character" w:customStyle="1" w:styleId="NichtaufgelsteErwhnung1">
    <w:name w:val="Nicht aufgelöste Erwähnung1"/>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style>
  <w:style w:type="character" w:styleId="BesuchterLink">
    <w:name w:val="FollowedHyperlink"/>
    <w:rPr>
      <w:color w:val="954F72"/>
      <w:u w:val="single"/>
    </w:rPr>
  </w:style>
  <w:style w:type="character" w:styleId="NichtaufgelsteErwhnung">
    <w:name w:val="Unresolved Mention"/>
    <w:basedOn w:val="Absatz-Standardschriftart"/>
    <w:uiPriority w:val="99"/>
    <w:semiHidden/>
    <w:unhideWhenUsed/>
    <w:rsid w:val="00A61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13887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11467581">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32539858">
      <w:bodyDiv w:val="1"/>
      <w:marLeft w:val="0"/>
      <w:marRight w:val="0"/>
      <w:marTop w:val="0"/>
      <w:marBottom w:val="0"/>
      <w:divBdr>
        <w:top w:val="none" w:sz="0" w:space="0" w:color="auto"/>
        <w:left w:val="none" w:sz="0" w:space="0" w:color="auto"/>
        <w:bottom w:val="none" w:sz="0" w:space="0" w:color="auto"/>
        <w:right w:val="none" w:sz="0" w:space="0" w:color="auto"/>
      </w:divBdr>
    </w:div>
    <w:div w:id="1033263550">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LHCA"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3B35-D37E-46DD-95FA-B143684E0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2992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3392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8</cp:revision>
  <cp:lastPrinted>2017-06-23T08:32:00Z</cp:lastPrinted>
  <dcterms:created xsi:type="dcterms:W3CDTF">2024-07-15T08:04:00Z</dcterms:created>
  <dcterms:modified xsi:type="dcterms:W3CDTF">2024-07-25T07:29:00Z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