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7B746" w14:textId="381C626C" w:rsidR="00E44AB6" w:rsidRPr="00D1728E" w:rsidRDefault="009A2F8C" w:rsidP="006B381A">
      <w:pPr>
        <w:pStyle w:val="PITitel"/>
      </w:pPr>
      <w:r>
        <w:t>PRESS RELEASE</w:t>
      </w:r>
    </w:p>
    <w:p w14:paraId="0E80F860" w14:textId="3C72EB59" w:rsidR="00B22C1E" w:rsidRPr="00D1728E" w:rsidRDefault="007A0DC1" w:rsidP="003A3EE8">
      <w:pPr>
        <w:pStyle w:val="PISubhead"/>
        <w:spacing w:after="240"/>
      </w:pPr>
      <w:r>
        <w:t>ASMPT successful at PCIM Europe</w:t>
      </w:r>
    </w:p>
    <w:p w14:paraId="52D5A254" w14:textId="44E8779A" w:rsidR="003A3EE8" w:rsidRPr="00D1728E" w:rsidRDefault="007A0DC1" w:rsidP="003A3EE8">
      <w:pPr>
        <w:pStyle w:val="PIHead"/>
        <w:spacing w:after="240"/>
      </w:pPr>
      <w:r>
        <w:t xml:space="preserve">Process chain for </w:t>
      </w:r>
      <w:r w:rsidR="00FA67FB">
        <w:br/>
      </w:r>
      <w:r>
        <w:t>power module production</w:t>
      </w:r>
    </w:p>
    <w:p w14:paraId="734F449E" w14:textId="2F4AA5CD" w:rsidR="00CA5DD1" w:rsidRPr="00D1728E" w:rsidRDefault="00F3665A" w:rsidP="007A0DC1">
      <w:pPr>
        <w:pStyle w:val="PILead"/>
      </w:pPr>
      <w:r>
        <w:t>Munich</w:t>
      </w:r>
      <w:r w:rsidRPr="000C0D02">
        <w:t xml:space="preserve">, June </w:t>
      </w:r>
      <w:r w:rsidR="000C0D02" w:rsidRPr="000C0D02">
        <w:t>24</w:t>
      </w:r>
      <w:r w:rsidRPr="000C0D02">
        <w:t>, 2024</w:t>
      </w:r>
      <w:r>
        <w:t xml:space="preserve"> – </w:t>
      </w:r>
      <w:r w:rsidR="00FA67FB">
        <w:t xml:space="preserve">At the PCIM Europe industry fair in Nuremberg, </w:t>
      </w:r>
      <w:r>
        <w:t xml:space="preserve">ASMPT </w:t>
      </w:r>
      <w:r w:rsidR="00FA67FB">
        <w:t>exhibited</w:t>
      </w:r>
      <w:r>
        <w:t xml:space="preserve"> a complete power module manufacturing concept. With its presentation of innovative laser dicing and sintering technologies, the global market and technology leader in hardware and software </w:t>
      </w:r>
      <w:r w:rsidR="003F4A26">
        <w:t xml:space="preserve">solutions </w:t>
      </w:r>
      <w:r>
        <w:t>for semiconductor and electronics production addresses current challenges in the production of power electronics for the automobile industry and beyond.</w:t>
      </w:r>
    </w:p>
    <w:p w14:paraId="49A5E5DF" w14:textId="638AEF0B" w:rsidR="00D1728E" w:rsidRPr="00D1728E" w:rsidRDefault="00FA67FB" w:rsidP="004E32EA">
      <w:pPr>
        <w:pStyle w:val="PITextkrper"/>
      </w:pPr>
      <w:r>
        <w:t>“</w:t>
      </w:r>
      <w:r w:rsidR="00CE0DA4">
        <w:t>Against the backdrop of recent supply chain</w:t>
      </w:r>
      <w:r w:rsidR="003F4A26">
        <w:t xml:space="preserve"> challenges</w:t>
      </w:r>
      <w:r w:rsidR="00CE0DA4">
        <w:t xml:space="preserve">, the European automobile electronics industry has a great interest in having more chips and components manufactured in Europe. </w:t>
      </w:r>
      <w:r w:rsidR="00FE3030">
        <w:t xml:space="preserve">Power electronics </w:t>
      </w:r>
      <w:proofErr w:type="gramStart"/>
      <w:r w:rsidR="00FE3030">
        <w:t>in particular are</w:t>
      </w:r>
      <w:proofErr w:type="gramEnd"/>
      <w:r w:rsidR="00FE3030">
        <w:t xml:space="preserve"> developing great momentum, a</w:t>
      </w:r>
      <w:r w:rsidR="00CE0DA4">
        <w:t>s was apparent at the PCIM show,</w:t>
      </w:r>
      <w:r>
        <w:t>”</w:t>
      </w:r>
      <w:r w:rsidR="00CE0DA4">
        <w:t xml:space="preserve"> says Johann Weinhändler, Managing Director at ASMPT AMICRA GmbH in Regensburg, who is responsible for ASMPT</w:t>
      </w:r>
      <w:r>
        <w:t>’</w:t>
      </w:r>
      <w:r w:rsidR="00CE0DA4">
        <w:t>s Semiconductor Solutions segment in EMEA</w:t>
      </w:r>
      <w:r w:rsidR="00932F65">
        <w:t xml:space="preserve"> </w:t>
      </w:r>
      <w:r w:rsidR="00932F65" w:rsidRPr="00932F65">
        <w:t>in addition to the global AMICRA business</w:t>
      </w:r>
      <w:r w:rsidR="00CE0DA4">
        <w:t xml:space="preserve">. </w:t>
      </w:r>
      <w:r>
        <w:t>“</w:t>
      </w:r>
      <w:r w:rsidR="00CE0DA4">
        <w:t>With our help, European EMS providers will conquer new business areas.</w:t>
      </w:r>
      <w:r>
        <w:t>”</w:t>
      </w:r>
    </w:p>
    <w:p w14:paraId="247D9FBC" w14:textId="38E82E4B" w:rsidR="004E32EA" w:rsidRPr="00D1728E" w:rsidRDefault="004814A5" w:rsidP="004E32EA">
      <w:pPr>
        <w:pStyle w:val="PITextkrper"/>
      </w:pPr>
      <w:r>
        <w:t xml:space="preserve">David Felicetti, Business Development &amp; Product Marketing Manager at ASMPT, </w:t>
      </w:r>
      <w:r w:rsidR="00FE3030">
        <w:t>added</w:t>
      </w:r>
      <w:r>
        <w:t xml:space="preserve">: </w:t>
      </w:r>
      <w:r w:rsidR="00FA67FB">
        <w:t>“</w:t>
      </w:r>
      <w:r>
        <w:t xml:space="preserve">With their high efficiency and thermal conductivity, power modules that </w:t>
      </w:r>
      <w:r w:rsidR="003F4A26">
        <w:t xml:space="preserve">are </w:t>
      </w:r>
      <w:r>
        <w:t>based on silicon carbide (</w:t>
      </w:r>
      <w:proofErr w:type="spellStart"/>
      <w:r>
        <w:t>SiC</w:t>
      </w:r>
      <w:proofErr w:type="spellEnd"/>
      <w:r>
        <w:t>) and firmly bonded to heat sinks via silver sintering are increasingly in demand for automotive electronics,</w:t>
      </w:r>
      <w:r w:rsidR="00FA67FB">
        <w:t xml:space="preserve"> </w:t>
      </w:r>
      <w:r>
        <w:t xml:space="preserve">but other application areas will play a significant role in the future as well. </w:t>
      </w:r>
      <w:r w:rsidR="00FE3030">
        <w:t>Accordingly, many</w:t>
      </w:r>
      <w:r>
        <w:t xml:space="preserve"> PCIM visitors </w:t>
      </w:r>
      <w:r w:rsidR="00FE3030">
        <w:t xml:space="preserve">showed great </w:t>
      </w:r>
      <w:r>
        <w:t>interest in our POWER VECTOR die and module bonding platform.</w:t>
      </w:r>
      <w:r w:rsidR="00FA67FB">
        <w:t>”</w:t>
      </w:r>
      <w:r>
        <w:t xml:space="preserve"> Weinhändler adds:</w:t>
      </w:r>
      <w:r w:rsidR="00FA67FB">
        <w:t>”</w:t>
      </w:r>
      <w:r>
        <w:t xml:space="preserve"> We can now offer machines for the complete process chain in power module production. This does not mean, however, that these machines </w:t>
      </w:r>
      <w:r w:rsidR="00FE3030">
        <w:t>must</w:t>
      </w:r>
      <w:r>
        <w:t xml:space="preserve"> be arranged in a line, as in our model. I can well imagine that some EMS providers will specialize in process steps such as sintering.</w:t>
      </w:r>
      <w:r w:rsidR="00FA67FB">
        <w:t>”</w:t>
      </w:r>
    </w:p>
    <w:p w14:paraId="4111234D" w14:textId="198BFDB7" w:rsidR="00405DDE" w:rsidRPr="00D1728E" w:rsidRDefault="001116F2" w:rsidP="004E32EA">
      <w:pPr>
        <w:pStyle w:val="PITextkrper"/>
      </w:pPr>
      <w:r>
        <w:lastRenderedPageBreak/>
        <w:t xml:space="preserve">As part of its sustainability strategy, ASMPT refrained from shipping giant machines to Nuremberg and instead presented its machines as mock-ups and models in combination with 3D videos. </w:t>
      </w:r>
    </w:p>
    <w:p w14:paraId="49D85347" w14:textId="1EEBDDDF" w:rsidR="00B539E2" w:rsidRPr="00D1728E" w:rsidRDefault="00D1728E" w:rsidP="004E32EA">
      <w:pPr>
        <w:pStyle w:val="PITextkrper"/>
      </w:pPr>
      <w:r>
        <w:t>In addition to the process chain for power modules, the presentation of the ALSI LASER1205 multi-beam laser dicing platform sent an</w:t>
      </w:r>
      <w:r w:rsidR="00FE3030">
        <w:t>other</w:t>
      </w:r>
      <w:r>
        <w:t xml:space="preserve"> important message: With </w:t>
      </w:r>
      <w:r w:rsidR="00FE3030">
        <w:t>its</w:t>
      </w:r>
      <w:r>
        <w:t xml:space="preserve"> patented new process, it </w:t>
      </w:r>
      <w:r w:rsidR="00FE3030">
        <w:t>improves</w:t>
      </w:r>
      <w:r>
        <w:t xml:space="preserve"> the yield in the separation of thin, sensitive and still very expensive </w:t>
      </w:r>
      <w:proofErr w:type="spellStart"/>
      <w:r>
        <w:t>SiC</w:t>
      </w:r>
      <w:proofErr w:type="spellEnd"/>
      <w:r>
        <w:t xml:space="preserve"> wafers. The innovative system processes wafers ranging from 10 to 250 microns in thickness with a positioning accuracy of less than 1.5 microns, and it </w:t>
      </w:r>
      <w:r w:rsidR="00FE3030">
        <w:t>operates</w:t>
      </w:r>
      <w:r>
        <w:t xml:space="preserve"> 50 percent faster than conventional methods.</w:t>
      </w:r>
    </w:p>
    <w:p w14:paraId="5E6A787D" w14:textId="3140AB3C" w:rsidR="00CA5DD1" w:rsidRPr="00FA67FB" w:rsidRDefault="00CA5DD1" w:rsidP="00CB50AC">
      <w:pPr>
        <w:pStyle w:val="PITextkrper"/>
      </w:pPr>
    </w:p>
    <w:p w14:paraId="1B15A29B" w14:textId="77777777" w:rsidR="00A43FBE" w:rsidRPr="00FA67FB" w:rsidRDefault="00A43FBE" w:rsidP="00BB1557">
      <w:pPr>
        <w:pStyle w:val="PITextkrper"/>
        <w:pBdr>
          <w:bottom w:val="single" w:sz="4" w:space="1" w:color="auto"/>
        </w:pBdr>
      </w:pPr>
    </w:p>
    <w:p w14:paraId="6B318A05" w14:textId="0AB11A6E" w:rsidR="004243CE" w:rsidRPr="00FA67FB" w:rsidRDefault="004243CE" w:rsidP="004243CE">
      <w:pPr>
        <w:pStyle w:val="PITextkrper"/>
      </w:pPr>
    </w:p>
    <w:p w14:paraId="6688DB59" w14:textId="3F4691C4" w:rsidR="00852645" w:rsidRPr="00370E0B" w:rsidRDefault="00370E0B" w:rsidP="00370E0B">
      <w:pPr>
        <w:rPr>
          <w:rFonts w:ascii="Arial" w:hAnsi="Arial" w:cs="Arial"/>
          <w:b/>
          <w:bCs/>
          <w:sz w:val="18"/>
          <w:szCs w:val="18"/>
        </w:rPr>
      </w:pPr>
      <w:r>
        <w:rPr>
          <w:rFonts w:ascii="Arial" w:hAnsi="Arial"/>
          <w:b/>
          <w:sz w:val="18"/>
        </w:rPr>
        <w:t>Illustrations for downloading</w:t>
      </w:r>
    </w:p>
    <w:p w14:paraId="2B53D726" w14:textId="6B8B9840" w:rsidR="00852645" w:rsidRPr="00D1728E"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4365"/>
      </w:tblGrid>
      <w:tr w:rsidR="00827736" w:rsidRPr="00D1728E" w14:paraId="13F5F58C" w14:textId="77777777" w:rsidTr="00F27C06">
        <w:tc>
          <w:tcPr>
            <w:tcW w:w="2439" w:type="dxa"/>
            <w:tcBorders>
              <w:top w:val="single" w:sz="4" w:space="0" w:color="auto"/>
              <w:left w:val="single" w:sz="4" w:space="0" w:color="auto"/>
              <w:bottom w:val="single" w:sz="4" w:space="0" w:color="auto"/>
              <w:right w:val="single" w:sz="4" w:space="0" w:color="auto"/>
            </w:tcBorders>
          </w:tcPr>
          <w:p w14:paraId="733E194D" w14:textId="77777777" w:rsidR="00827736" w:rsidRPr="00D1728E" w:rsidRDefault="00827736" w:rsidP="00F27C06">
            <w:pPr>
              <w:spacing w:before="100" w:beforeAutospacing="1" w:after="100" w:afterAutospacing="1"/>
              <w:jc w:val="center"/>
            </w:pPr>
            <w:r>
              <w:br/>
            </w:r>
            <w:r>
              <w:rPr>
                <w:noProof/>
              </w:rPr>
              <w:drawing>
                <wp:inline distT="0" distB="0" distL="0" distR="0" wp14:anchorId="06A45C47" wp14:editId="6A74B841">
                  <wp:extent cx="1147916" cy="1728000"/>
                  <wp:effectExtent l="0" t="0" r="0" b="5715"/>
                  <wp:docPr id="912846631" name="Grafik 1" descr="Ein Bild, das Person, Kleidung, Schuhwerk,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46631" name="Grafik 1" descr="Ein Bild, das Person, Kleidung, Schuhwerk, Menschliches Gesich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7916" cy="1728000"/>
                          </a:xfrm>
                          <a:prstGeom prst="rect">
                            <a:avLst/>
                          </a:prstGeom>
                          <a:noFill/>
                          <a:ln>
                            <a:noFill/>
                          </a:ln>
                        </pic:spPr>
                      </pic:pic>
                    </a:graphicData>
                  </a:graphic>
                </wp:inline>
              </w:drawing>
            </w:r>
          </w:p>
        </w:tc>
        <w:tc>
          <w:tcPr>
            <w:tcW w:w="4365" w:type="dxa"/>
            <w:tcBorders>
              <w:top w:val="single" w:sz="4" w:space="0" w:color="auto"/>
              <w:left w:val="single" w:sz="4" w:space="0" w:color="auto"/>
              <w:bottom w:val="single" w:sz="4" w:space="0" w:color="auto"/>
              <w:right w:val="single" w:sz="4" w:space="0" w:color="auto"/>
            </w:tcBorders>
          </w:tcPr>
          <w:p w14:paraId="305D8986" w14:textId="77777777" w:rsidR="00827736" w:rsidRPr="00D1728E" w:rsidRDefault="00827736" w:rsidP="00F27C06">
            <w:r>
              <w:br/>
            </w:r>
            <w:r>
              <w:rPr>
                <w:noProof/>
              </w:rPr>
              <w:drawing>
                <wp:inline distT="0" distB="0" distL="0" distR="0" wp14:anchorId="1ACD72C0" wp14:editId="56B8011F">
                  <wp:extent cx="2603500" cy="1728000"/>
                  <wp:effectExtent l="0" t="0" r="6350" b="5715"/>
                  <wp:docPr id="953464845" name="Grafik 3" descr="Ein Bild, das Text, Kleidung, Perso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64627" name="Grafik 3" descr="Ein Bild, das Text, Kleidung, Person, Im Haus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t="51" b="51"/>
                          <a:stretch>
                            <a:fillRect/>
                          </a:stretch>
                        </pic:blipFill>
                        <pic:spPr bwMode="auto">
                          <a:xfrm>
                            <a:off x="0" y="0"/>
                            <a:ext cx="2603500" cy="1728000"/>
                          </a:xfrm>
                          <a:prstGeom prst="rect">
                            <a:avLst/>
                          </a:prstGeom>
                          <a:noFill/>
                          <a:ln>
                            <a:noFill/>
                          </a:ln>
                          <a:extLst>
                            <a:ext uri="{53640926-AAD7-44D8-BBD7-CCE9431645EC}">
                              <a14:shadowObscured xmlns:a14="http://schemas.microsoft.com/office/drawing/2010/main"/>
                            </a:ext>
                          </a:extLst>
                        </pic:spPr>
                      </pic:pic>
                    </a:graphicData>
                  </a:graphic>
                </wp:inline>
              </w:drawing>
            </w:r>
          </w:p>
          <w:p w14:paraId="0F71988C" w14:textId="77777777" w:rsidR="00827736" w:rsidRPr="00D1728E" w:rsidRDefault="00827736" w:rsidP="00F27C06"/>
        </w:tc>
      </w:tr>
      <w:tr w:rsidR="00827736" w:rsidRPr="00D1728E" w14:paraId="53365B2F" w14:textId="77777777" w:rsidTr="00F27C06">
        <w:tc>
          <w:tcPr>
            <w:tcW w:w="2439" w:type="dxa"/>
            <w:tcBorders>
              <w:top w:val="single" w:sz="4" w:space="0" w:color="auto"/>
              <w:left w:val="single" w:sz="4" w:space="0" w:color="auto"/>
              <w:bottom w:val="single" w:sz="4" w:space="0" w:color="auto"/>
              <w:right w:val="single" w:sz="4" w:space="0" w:color="auto"/>
            </w:tcBorders>
          </w:tcPr>
          <w:p w14:paraId="5DD9C8A9" w14:textId="77777777" w:rsidR="00827736" w:rsidRPr="00D1728E" w:rsidRDefault="00827736" w:rsidP="00F27C06">
            <w:pPr>
              <w:rPr>
                <w:rFonts w:ascii="Arial" w:hAnsi="Arial"/>
                <w:b/>
                <w:snapToGrid w:val="0"/>
                <w:sz w:val="18"/>
                <w:lang w:eastAsia="ko-KR"/>
              </w:rPr>
            </w:pPr>
          </w:p>
          <w:p w14:paraId="0C84385B" w14:textId="77777777" w:rsidR="00827736" w:rsidRPr="00D1728E" w:rsidRDefault="00827736" w:rsidP="00827736">
            <w:pPr>
              <w:rPr>
                <w:rFonts w:ascii="Arial" w:hAnsi="Arial"/>
                <w:b/>
                <w:snapToGrid w:val="0"/>
                <w:sz w:val="18"/>
              </w:rPr>
            </w:pPr>
            <w:r>
              <w:rPr>
                <w:rFonts w:ascii="Arial" w:hAnsi="Arial"/>
                <w:b/>
                <w:snapToGrid w:val="0"/>
                <w:sz w:val="18"/>
              </w:rPr>
              <w:t>David Felicetti, Business Development &amp; Product Marketing Manager at ASMPT, presented ASMPT’s concepts for power electronics manufacturing at PCIM Europe.</w:t>
            </w:r>
          </w:p>
          <w:p w14:paraId="4772C311" w14:textId="77777777" w:rsidR="00827736" w:rsidRPr="00D1728E" w:rsidRDefault="00827736" w:rsidP="00827736">
            <w:pPr>
              <w:rPr>
                <w:rFonts w:ascii="Arial" w:hAnsi="Arial"/>
                <w:b/>
                <w:snapToGrid w:val="0"/>
                <w:sz w:val="18"/>
                <w:lang w:eastAsia="ko-KR"/>
              </w:rPr>
            </w:pPr>
          </w:p>
          <w:p w14:paraId="18B22C02" w14:textId="77777777" w:rsidR="00827736" w:rsidRPr="00D1728E" w:rsidRDefault="00827736" w:rsidP="00827736">
            <w:pPr>
              <w:rPr>
                <w:rFonts w:ascii="Arial" w:hAnsi="Arial"/>
                <w:snapToGrid w:val="0"/>
                <w:sz w:val="16"/>
                <w:szCs w:val="16"/>
              </w:rPr>
            </w:pPr>
            <w:r>
              <w:rPr>
                <w:rFonts w:ascii="Arial" w:hAnsi="Arial"/>
                <w:snapToGrid w:val="0"/>
                <w:sz w:val="16"/>
              </w:rPr>
              <w:t>Image credit: ASMPT</w:t>
            </w:r>
          </w:p>
          <w:p w14:paraId="3AB468A1" w14:textId="77777777" w:rsidR="00827736" w:rsidRPr="00D1728E" w:rsidRDefault="00827736" w:rsidP="00F27C06">
            <w:pPr>
              <w:rPr>
                <w:rFonts w:ascii="Arial" w:hAnsi="Arial"/>
                <w:snapToGrid w:val="0"/>
                <w:sz w:val="16"/>
                <w:szCs w:val="16"/>
                <w:lang w:eastAsia="ko-KR"/>
              </w:rPr>
            </w:pPr>
          </w:p>
        </w:tc>
        <w:tc>
          <w:tcPr>
            <w:tcW w:w="4365" w:type="dxa"/>
            <w:tcBorders>
              <w:top w:val="single" w:sz="4" w:space="0" w:color="auto"/>
              <w:left w:val="single" w:sz="4" w:space="0" w:color="auto"/>
              <w:bottom w:val="single" w:sz="4" w:space="0" w:color="auto"/>
              <w:right w:val="single" w:sz="4" w:space="0" w:color="auto"/>
            </w:tcBorders>
          </w:tcPr>
          <w:p w14:paraId="361EC600" w14:textId="77777777" w:rsidR="00827736" w:rsidRPr="00D1728E" w:rsidRDefault="00827736" w:rsidP="00F27C06">
            <w:pPr>
              <w:rPr>
                <w:rFonts w:ascii="Arial" w:hAnsi="Arial"/>
                <w:b/>
                <w:snapToGrid w:val="0"/>
                <w:sz w:val="18"/>
                <w:lang w:eastAsia="ko-KR"/>
              </w:rPr>
            </w:pPr>
          </w:p>
          <w:p w14:paraId="488B3A79" w14:textId="77777777" w:rsidR="00827736" w:rsidRDefault="00827736" w:rsidP="00827736">
            <w:pPr>
              <w:rPr>
                <w:rFonts w:ascii="Arial" w:hAnsi="Arial"/>
                <w:b/>
                <w:snapToGrid w:val="0"/>
                <w:sz w:val="18"/>
              </w:rPr>
            </w:pPr>
            <w:r>
              <w:rPr>
                <w:rFonts w:ascii="Arial" w:hAnsi="Arial"/>
                <w:b/>
                <w:snapToGrid w:val="0"/>
                <w:sz w:val="18"/>
              </w:rPr>
              <w:t xml:space="preserve">Shown as a model, the line for power module production includes the DEK </w:t>
            </w:r>
            <w:proofErr w:type="spellStart"/>
            <w:r>
              <w:rPr>
                <w:rFonts w:ascii="Arial" w:hAnsi="Arial"/>
                <w:b/>
                <w:snapToGrid w:val="0"/>
                <w:sz w:val="18"/>
              </w:rPr>
              <w:t>NeoHorizon</w:t>
            </w:r>
            <w:proofErr w:type="spellEnd"/>
            <w:r>
              <w:rPr>
                <w:rFonts w:ascii="Arial" w:hAnsi="Arial"/>
                <w:b/>
                <w:snapToGrid w:val="0"/>
                <w:sz w:val="18"/>
              </w:rPr>
              <w:t xml:space="preserve"> solder paste printer, the POWER VECTOR (die, clip and component tacking for sintering), the </w:t>
            </w:r>
            <w:proofErr w:type="spellStart"/>
            <w:r>
              <w:rPr>
                <w:rFonts w:ascii="Arial" w:hAnsi="Arial"/>
                <w:b/>
                <w:snapToGrid w:val="0"/>
                <w:sz w:val="18"/>
              </w:rPr>
              <w:t>SilverSAM</w:t>
            </w:r>
            <w:proofErr w:type="spellEnd"/>
            <w:r>
              <w:rPr>
                <w:rFonts w:ascii="Arial" w:hAnsi="Arial"/>
                <w:b/>
                <w:snapToGrid w:val="0"/>
                <w:sz w:val="18"/>
              </w:rPr>
              <w:t xml:space="preserve"> sintering platform, and the 3GeP, a transfer molding system for a wide range of packaging applications.</w:t>
            </w:r>
          </w:p>
          <w:p w14:paraId="204F0B2D" w14:textId="77777777" w:rsidR="00827736" w:rsidRPr="00D1728E" w:rsidRDefault="00827736" w:rsidP="00827736">
            <w:pPr>
              <w:rPr>
                <w:rFonts w:ascii="Arial" w:hAnsi="Arial"/>
                <w:b/>
                <w:snapToGrid w:val="0"/>
                <w:sz w:val="18"/>
                <w:lang w:eastAsia="ko-KR"/>
              </w:rPr>
            </w:pPr>
          </w:p>
          <w:p w14:paraId="136C8150" w14:textId="77777777" w:rsidR="00827736" w:rsidRPr="00D1728E" w:rsidRDefault="00827736" w:rsidP="00827736">
            <w:pPr>
              <w:rPr>
                <w:rFonts w:ascii="Arial" w:hAnsi="Arial"/>
                <w:snapToGrid w:val="0"/>
                <w:sz w:val="16"/>
                <w:szCs w:val="16"/>
              </w:rPr>
            </w:pPr>
            <w:r>
              <w:rPr>
                <w:rFonts w:ascii="Arial" w:hAnsi="Arial"/>
                <w:snapToGrid w:val="0"/>
                <w:sz w:val="16"/>
              </w:rPr>
              <w:t>Image credit: ASMPT</w:t>
            </w:r>
          </w:p>
          <w:p w14:paraId="48E9FA5B" w14:textId="77777777" w:rsidR="00827736" w:rsidRPr="00D1728E" w:rsidRDefault="00827736" w:rsidP="00F27C06">
            <w:pPr>
              <w:rPr>
                <w:rFonts w:ascii="Arial" w:hAnsi="Arial"/>
                <w:snapToGrid w:val="0"/>
                <w:sz w:val="16"/>
                <w:szCs w:val="16"/>
                <w:lang w:eastAsia="ko-KR"/>
              </w:rPr>
            </w:pPr>
          </w:p>
        </w:tc>
      </w:tr>
    </w:tbl>
    <w:p w14:paraId="67550A04" w14:textId="77777777" w:rsidR="00827736" w:rsidRDefault="00827736" w:rsidP="00827736">
      <w:pPr>
        <w:pStyle w:val="PIAbspann"/>
        <w:jc w:val="left"/>
        <w:rPr>
          <w:rStyle w:val="Hyperlink"/>
          <w:rFonts w:cs="Arial"/>
          <w:color w:val="auto"/>
          <w:u w:val="none"/>
          <w:lang w:val="de-DE"/>
        </w:rPr>
      </w:pPr>
    </w:p>
    <w:p w14:paraId="446E2387" w14:textId="77777777" w:rsidR="00827736" w:rsidRDefault="00827736" w:rsidP="00827736">
      <w:pPr>
        <w:pStyle w:val="PIAbspann"/>
        <w:jc w:val="left"/>
        <w:rPr>
          <w:rStyle w:val="Hyperlink"/>
          <w:rFonts w:cs="Arial"/>
          <w:color w:val="auto"/>
          <w:u w:val="none"/>
          <w:lang w:val="de-DE"/>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827736" w:rsidRPr="00D1728E" w14:paraId="0B04B60B" w14:textId="77777777" w:rsidTr="00F27C06">
        <w:tc>
          <w:tcPr>
            <w:tcW w:w="3402" w:type="dxa"/>
            <w:tcBorders>
              <w:top w:val="single" w:sz="4" w:space="0" w:color="auto"/>
              <w:left w:val="single" w:sz="4" w:space="0" w:color="auto"/>
              <w:bottom w:val="single" w:sz="4" w:space="0" w:color="auto"/>
              <w:right w:val="single" w:sz="4" w:space="0" w:color="auto"/>
            </w:tcBorders>
          </w:tcPr>
          <w:p w14:paraId="5055D758" w14:textId="77777777" w:rsidR="00827736" w:rsidRDefault="00827736" w:rsidP="00F27C06">
            <w:pPr>
              <w:rPr>
                <w:noProof/>
              </w:rPr>
            </w:pPr>
            <w:r>
              <w:rPr>
                <w:rFonts w:ascii="Arial" w:hAnsi="Arial"/>
                <w:b/>
                <w:noProof/>
                <w:snapToGrid w:val="0"/>
                <w:sz w:val="18"/>
                <w:lang w:eastAsia="ko-KR"/>
              </w:rPr>
              <w:lastRenderedPageBreak/>
              <w:br/>
            </w:r>
            <w:r>
              <w:rPr>
                <w:noProof/>
              </w:rPr>
              <w:drawing>
                <wp:inline distT="0" distB="0" distL="0" distR="0" wp14:anchorId="6C0FE624" wp14:editId="444194A0">
                  <wp:extent cx="1950428" cy="1296000"/>
                  <wp:effectExtent l="0" t="0" r="0" b="0"/>
                  <wp:docPr id="207474216" name="Grafik 1" descr="Ein Bild, das Kleidung, Person, Man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4216" name="Grafik 1" descr="Ein Bild, das Kleidung, Person, Mann, Anzug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0428" cy="1296000"/>
                          </a:xfrm>
                          <a:prstGeom prst="rect">
                            <a:avLst/>
                          </a:prstGeom>
                          <a:noFill/>
                          <a:ln>
                            <a:noFill/>
                          </a:ln>
                        </pic:spPr>
                      </pic:pic>
                    </a:graphicData>
                  </a:graphic>
                </wp:inline>
              </w:drawing>
            </w:r>
          </w:p>
          <w:p w14:paraId="08333AFE" w14:textId="77777777" w:rsidR="00827736" w:rsidRPr="00D1728E" w:rsidRDefault="00827736" w:rsidP="00F27C06">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306AC498" w14:textId="77777777" w:rsidR="00827736" w:rsidRPr="00D1728E" w:rsidRDefault="00827736" w:rsidP="00F27C06">
            <w:pPr>
              <w:rPr>
                <w:rFonts w:ascii="Arial" w:hAnsi="Arial"/>
                <w:b/>
                <w:snapToGrid w:val="0"/>
                <w:sz w:val="18"/>
                <w:lang w:eastAsia="ko-KR"/>
              </w:rPr>
            </w:pPr>
            <w:r>
              <w:rPr>
                <w:rFonts w:ascii="Arial" w:hAnsi="Arial"/>
                <w:b/>
                <w:noProof/>
                <w:snapToGrid w:val="0"/>
                <w:sz w:val="18"/>
                <w:lang w:eastAsia="ko-KR"/>
              </w:rPr>
              <w:br/>
            </w:r>
            <w:r>
              <w:rPr>
                <w:rFonts w:ascii="Arial" w:hAnsi="Arial"/>
                <w:b/>
                <w:noProof/>
                <w:snapToGrid w:val="0"/>
                <w:sz w:val="18"/>
                <w:lang w:eastAsia="ko-KR"/>
              </w:rPr>
              <w:drawing>
                <wp:inline distT="0" distB="0" distL="0" distR="0" wp14:anchorId="5608FCA3" wp14:editId="22EF9292">
                  <wp:extent cx="2001491" cy="1296000"/>
                  <wp:effectExtent l="0" t="0" r="0" b="0"/>
                  <wp:docPr id="653375058" name="Grafik 2" descr="Ein Bild, das Person, Kleidung, Im Haus,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375058" name="Grafik 2" descr="Ein Bild, das Person, Kleidung, Im Haus, computer enthält.&#10;&#10;Automatisch generierte Beschreibu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6530" r="18230"/>
                          <a:stretch/>
                        </pic:blipFill>
                        <pic:spPr bwMode="auto">
                          <a:xfrm>
                            <a:off x="0" y="0"/>
                            <a:ext cx="2001491" cy="1296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27736" w:rsidRPr="00D1728E" w14:paraId="42E37AE8" w14:textId="77777777" w:rsidTr="00F27C06">
        <w:tc>
          <w:tcPr>
            <w:tcW w:w="3402" w:type="dxa"/>
            <w:tcBorders>
              <w:top w:val="single" w:sz="4" w:space="0" w:color="auto"/>
              <w:left w:val="single" w:sz="4" w:space="0" w:color="auto"/>
              <w:bottom w:val="single" w:sz="4" w:space="0" w:color="auto"/>
              <w:right w:val="single" w:sz="4" w:space="0" w:color="auto"/>
            </w:tcBorders>
          </w:tcPr>
          <w:p w14:paraId="4EC867A9" w14:textId="77777777" w:rsidR="00827736" w:rsidRDefault="00827736" w:rsidP="00F27C06">
            <w:pPr>
              <w:rPr>
                <w:rFonts w:ascii="Arial" w:hAnsi="Arial"/>
                <w:b/>
                <w:snapToGrid w:val="0"/>
                <w:sz w:val="18"/>
                <w:lang w:eastAsia="ko-KR"/>
              </w:rPr>
            </w:pPr>
          </w:p>
          <w:p w14:paraId="62B7A0D6" w14:textId="77777777" w:rsidR="00827736" w:rsidRDefault="00827736" w:rsidP="00827736">
            <w:pPr>
              <w:rPr>
                <w:rFonts w:ascii="Arial" w:hAnsi="Arial"/>
                <w:b/>
                <w:snapToGrid w:val="0"/>
                <w:sz w:val="18"/>
              </w:rPr>
            </w:pPr>
            <w:r>
              <w:rPr>
                <w:rFonts w:ascii="Arial" w:hAnsi="Arial"/>
                <w:b/>
                <w:snapToGrid w:val="0"/>
                <w:sz w:val="18"/>
              </w:rPr>
              <w:t>Visitors at the PCIM Europe showed great interest in the powerful POWER VECTOR die and module bonding platform.</w:t>
            </w:r>
          </w:p>
          <w:p w14:paraId="39A22FC6" w14:textId="77777777" w:rsidR="00827736" w:rsidRPr="00D1728E" w:rsidRDefault="00827736" w:rsidP="00827736">
            <w:pPr>
              <w:rPr>
                <w:rFonts w:ascii="Arial" w:hAnsi="Arial"/>
                <w:b/>
                <w:snapToGrid w:val="0"/>
                <w:sz w:val="18"/>
                <w:lang w:eastAsia="ko-KR"/>
              </w:rPr>
            </w:pPr>
          </w:p>
          <w:p w14:paraId="6A42FE54" w14:textId="1E0F8657" w:rsidR="00827736" w:rsidRPr="00370E0B" w:rsidRDefault="00827736" w:rsidP="00827736">
            <w:pPr>
              <w:rPr>
                <w:rFonts w:ascii="Arial" w:hAnsi="Arial"/>
                <w:snapToGrid w:val="0"/>
                <w:sz w:val="16"/>
                <w:szCs w:val="16"/>
                <w:lang w:eastAsia="ko-KR"/>
              </w:rPr>
            </w:pPr>
            <w:r>
              <w:rPr>
                <w:rFonts w:ascii="Arial" w:hAnsi="Arial"/>
                <w:snapToGrid w:val="0"/>
                <w:sz w:val="16"/>
              </w:rPr>
              <w:t>Image credit: ASMPT</w:t>
            </w:r>
          </w:p>
        </w:tc>
        <w:tc>
          <w:tcPr>
            <w:tcW w:w="3402" w:type="dxa"/>
            <w:tcBorders>
              <w:top w:val="single" w:sz="4" w:space="0" w:color="auto"/>
              <w:left w:val="single" w:sz="4" w:space="0" w:color="auto"/>
              <w:bottom w:val="single" w:sz="4" w:space="0" w:color="auto"/>
              <w:right w:val="single" w:sz="4" w:space="0" w:color="auto"/>
            </w:tcBorders>
          </w:tcPr>
          <w:p w14:paraId="2723C45E" w14:textId="77777777" w:rsidR="00827736" w:rsidRDefault="00827736" w:rsidP="00F27C06">
            <w:pPr>
              <w:rPr>
                <w:rFonts w:ascii="Arial" w:hAnsi="Arial"/>
                <w:b/>
                <w:snapToGrid w:val="0"/>
                <w:sz w:val="18"/>
                <w:lang w:eastAsia="ko-KR"/>
              </w:rPr>
            </w:pPr>
          </w:p>
          <w:p w14:paraId="2703BC76" w14:textId="77777777" w:rsidR="00827736" w:rsidRDefault="00827736" w:rsidP="00827736">
            <w:pPr>
              <w:rPr>
                <w:rFonts w:ascii="Arial" w:hAnsi="Arial"/>
                <w:b/>
                <w:snapToGrid w:val="0"/>
                <w:sz w:val="18"/>
              </w:rPr>
            </w:pPr>
            <w:r>
              <w:rPr>
                <w:rFonts w:ascii="Arial" w:hAnsi="Arial"/>
                <w:b/>
                <w:snapToGrid w:val="0"/>
                <w:sz w:val="18"/>
              </w:rPr>
              <w:t xml:space="preserve">Dr. Johann </w:t>
            </w:r>
            <w:proofErr w:type="spellStart"/>
            <w:r>
              <w:rPr>
                <w:rFonts w:ascii="Arial" w:hAnsi="Arial"/>
                <w:b/>
                <w:snapToGrid w:val="0"/>
                <w:sz w:val="18"/>
              </w:rPr>
              <w:t>Weinhändler</w:t>
            </w:r>
            <w:proofErr w:type="spellEnd"/>
            <w:r>
              <w:rPr>
                <w:rFonts w:ascii="Arial" w:hAnsi="Arial"/>
                <w:b/>
                <w:snapToGrid w:val="0"/>
                <w:sz w:val="18"/>
              </w:rPr>
              <w:t>, Managing Director at ASMPT AMICRA GmbH in Regensburg, is responsible for ASMPT’s Semiconductor Solutions segment in EMEA.</w:t>
            </w:r>
          </w:p>
          <w:p w14:paraId="5561D35B" w14:textId="77777777" w:rsidR="00827736" w:rsidRDefault="00827736" w:rsidP="00827736">
            <w:pPr>
              <w:rPr>
                <w:rFonts w:ascii="Arial" w:hAnsi="Arial"/>
                <w:b/>
                <w:snapToGrid w:val="0"/>
                <w:sz w:val="18"/>
                <w:lang w:eastAsia="ko-KR"/>
              </w:rPr>
            </w:pPr>
          </w:p>
          <w:p w14:paraId="24F637C1" w14:textId="77777777" w:rsidR="00827736" w:rsidRPr="00D1728E" w:rsidRDefault="00827736" w:rsidP="00827736">
            <w:pPr>
              <w:rPr>
                <w:rFonts w:ascii="Arial" w:hAnsi="Arial"/>
                <w:snapToGrid w:val="0"/>
                <w:sz w:val="16"/>
                <w:szCs w:val="16"/>
              </w:rPr>
            </w:pPr>
            <w:r>
              <w:rPr>
                <w:rFonts w:ascii="Arial" w:hAnsi="Arial"/>
                <w:snapToGrid w:val="0"/>
                <w:sz w:val="16"/>
              </w:rPr>
              <w:t>Image credit: ASMPT</w:t>
            </w:r>
          </w:p>
          <w:p w14:paraId="4B381DFE" w14:textId="77777777" w:rsidR="00827736" w:rsidRPr="00D1728E" w:rsidRDefault="00827736" w:rsidP="00F27C06">
            <w:pPr>
              <w:rPr>
                <w:rFonts w:ascii="Arial" w:hAnsi="Arial"/>
                <w:b/>
                <w:snapToGrid w:val="0"/>
                <w:sz w:val="18"/>
                <w:lang w:eastAsia="ko-KR"/>
              </w:rPr>
            </w:pPr>
          </w:p>
        </w:tc>
      </w:tr>
    </w:tbl>
    <w:p w14:paraId="2BEEE3C2" w14:textId="77777777" w:rsidR="00827736" w:rsidRDefault="00827736" w:rsidP="00827736">
      <w:pPr>
        <w:rPr>
          <w:rFonts w:ascii="Arial" w:eastAsia="SimSun" w:hAnsi="Arial" w:cs="Open Sans"/>
          <w:b/>
          <w:color w:val="000000" w:themeColor="text1"/>
          <w:sz w:val="18"/>
          <w:szCs w:val="18"/>
          <w:lang w:eastAsia="x-none"/>
        </w:rPr>
      </w:pPr>
    </w:p>
    <w:p w14:paraId="77F8E04C" w14:textId="77777777" w:rsidR="00827736" w:rsidRDefault="00827736" w:rsidP="00370E0B">
      <w:pPr>
        <w:rPr>
          <w:rFonts w:ascii="Arial" w:hAnsi="Arial"/>
          <w:b/>
          <w:color w:val="000000" w:themeColor="text1"/>
          <w:sz w:val="18"/>
        </w:rPr>
      </w:pPr>
    </w:p>
    <w:p w14:paraId="6F14DA3C" w14:textId="77777777" w:rsidR="00827736" w:rsidRDefault="00827736" w:rsidP="00370E0B">
      <w:pPr>
        <w:rPr>
          <w:rFonts w:ascii="Arial" w:hAnsi="Arial"/>
          <w:b/>
          <w:color w:val="000000" w:themeColor="text1"/>
          <w:sz w:val="18"/>
        </w:rPr>
      </w:pPr>
    </w:p>
    <w:p w14:paraId="5CE5FB51" w14:textId="4B3944E5" w:rsidR="001757CD" w:rsidRPr="00370E0B" w:rsidRDefault="00DB5789" w:rsidP="00370E0B">
      <w:r>
        <w:rPr>
          <w:rFonts w:ascii="Arial" w:hAnsi="Arial"/>
          <w:b/>
          <w:color w:val="000000" w:themeColor="text1"/>
          <w:sz w:val="18"/>
        </w:rPr>
        <w:t>About ASMPT Limited (</w:t>
      </w:r>
      <w:r w:rsidR="00FA67FB">
        <w:rPr>
          <w:rFonts w:ascii="Arial" w:hAnsi="Arial"/>
          <w:b/>
          <w:color w:val="000000" w:themeColor="text1"/>
          <w:sz w:val="18"/>
        </w:rPr>
        <w:t>“</w:t>
      </w:r>
      <w:r>
        <w:rPr>
          <w:rFonts w:ascii="Arial" w:hAnsi="Arial"/>
          <w:b/>
          <w:color w:val="000000" w:themeColor="text1"/>
          <w:sz w:val="18"/>
        </w:rPr>
        <w:t>ASMPT</w:t>
      </w:r>
      <w:r w:rsidR="00FA67FB">
        <w:rPr>
          <w:rFonts w:ascii="Arial" w:hAnsi="Arial"/>
          <w:b/>
          <w:color w:val="000000" w:themeColor="text1"/>
          <w:sz w:val="18"/>
        </w:rPr>
        <w:t>”</w:t>
      </w:r>
      <w:r>
        <w:rPr>
          <w:rFonts w:ascii="Arial" w:hAnsi="Arial"/>
          <w:b/>
          <w:color w:val="000000" w:themeColor="text1"/>
          <w:sz w:val="18"/>
        </w:rPr>
        <w:t>)</w:t>
      </w:r>
    </w:p>
    <w:p w14:paraId="7DE7357A" w14:textId="7C7A504A" w:rsidR="001757CD" w:rsidRPr="00D1728E"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rPr>
      </w:pPr>
      <w:bookmarkStart w:id="0" w:name="_Hlk109986664"/>
      <w:r>
        <w:rPr>
          <w:rFonts w:ascii="Arial" w:hAnsi="Arial"/>
          <w:sz w:val="18"/>
        </w:rPr>
        <w:t>ASMPT Limited is a leading global supplier of hardware and software solutions for the manufacture of semiconductors and electronics. Headquartered in Singapore, ASMPT</w:t>
      </w:r>
      <w:r w:rsidR="00FA67FB">
        <w:rPr>
          <w:rFonts w:ascii="Arial" w:hAnsi="Arial"/>
          <w:sz w:val="18"/>
        </w:rPr>
        <w:t>’</w:t>
      </w:r>
      <w:r>
        <w:rPr>
          <w:rFonts w:ascii="Arial" w:hAnsi="Arial"/>
          <w:sz w:val="18"/>
        </w:rPr>
        <w:t>s offerings encompass the semiconductor assembly &amp; packaging, and SMT (surface mount technology) industries, ranging from wafer deposition to the various solutions that organize, assemble and package delicate electronic components into a vast range of end-user devices, which include electronics, mobile communications, computing, automotive, industrial and LED (displays). ASMPT partners with customers very closely, with continuous investments in R&amp;D helping to provide cost-effective, industry-shaping solutions that achieve higher productivity, greater reliability, and enhanced quality.</w:t>
      </w:r>
    </w:p>
    <w:p w14:paraId="29FB8E78" w14:textId="77777777" w:rsidR="001757CD" w:rsidRPr="00D1728E" w:rsidRDefault="001757CD" w:rsidP="001757CD">
      <w:pPr>
        <w:overflowPunct w:val="0"/>
        <w:autoSpaceDE w:val="0"/>
        <w:autoSpaceDN w:val="0"/>
        <w:adjustRightInd w:val="0"/>
        <w:spacing w:before="120" w:after="120" w:line="280" w:lineRule="atLeast"/>
        <w:jc w:val="both"/>
        <w:textAlignment w:val="baseline"/>
        <w:rPr>
          <w:rFonts w:ascii="Arial" w:eastAsia="SimSun" w:hAnsi="Arial" w:cs="Open Sans"/>
          <w:bCs/>
          <w:sz w:val="18"/>
          <w:szCs w:val="18"/>
        </w:rPr>
      </w:pPr>
      <w:r>
        <w:rPr>
          <w:rFonts w:ascii="Arial" w:hAnsi="Arial"/>
          <w:sz w:val="18"/>
        </w:rPr>
        <w:t xml:space="preserve">ASMPT is listed on the Stock Exchange of Hong Kong (HKEX stock code: 0522) and is one of the constituent stocks of the Hang Seng Composite </w:t>
      </w:r>
      <w:proofErr w:type="spellStart"/>
      <w:r>
        <w:rPr>
          <w:rFonts w:ascii="Arial" w:hAnsi="Arial"/>
          <w:sz w:val="18"/>
        </w:rPr>
        <w:t>MidCap</w:t>
      </w:r>
      <w:proofErr w:type="spellEnd"/>
      <w:r>
        <w:rPr>
          <w:rFonts w:ascii="Arial" w:hAnsi="Arial"/>
          <w:sz w:val="18"/>
        </w:rPr>
        <w:t xml:space="preserve"> Index under the Hang Seng Composite Size Indexes, the Hang Seng Composite Information Technology Industry Index under Hang Seng Composite Industry Indexes, the Hang Seng Corporate Sustainability Benchmark Index, and the Hang Seng HK 35 Index.</w:t>
      </w:r>
    </w:p>
    <w:bookmarkEnd w:id="0"/>
    <w:p w14:paraId="329562E4" w14:textId="77777777" w:rsidR="001757CD" w:rsidRDefault="001757CD" w:rsidP="001757CD">
      <w:pPr>
        <w:overflowPunct w:val="0"/>
        <w:autoSpaceDE w:val="0"/>
        <w:autoSpaceDN w:val="0"/>
        <w:adjustRightInd w:val="0"/>
        <w:spacing w:before="120" w:after="120" w:line="360" w:lineRule="auto"/>
        <w:jc w:val="both"/>
        <w:textAlignment w:val="baseline"/>
        <w:rPr>
          <w:rFonts w:ascii="Arial" w:hAnsi="Arial"/>
          <w:b/>
          <w:color w:val="000000" w:themeColor="text1"/>
          <w:sz w:val="18"/>
        </w:rPr>
      </w:pPr>
      <w:r>
        <w:rPr>
          <w:rFonts w:ascii="Arial" w:hAnsi="Arial"/>
          <w:b/>
          <w:color w:val="000000" w:themeColor="text1"/>
          <w:sz w:val="18"/>
        </w:rPr>
        <w:t>To learn more about ASMPT, please visit www.asmpt.com.</w:t>
      </w:r>
    </w:p>
    <w:p w14:paraId="0B0C4A64" w14:textId="4F944E85" w:rsidR="00824659" w:rsidRDefault="00824659">
      <w:pPr>
        <w:rPr>
          <w:rFonts w:ascii="Arial" w:eastAsia="SimSun" w:hAnsi="Arial" w:cs="Open Sans"/>
          <w:b/>
          <w:color w:val="000000" w:themeColor="text1"/>
          <w:sz w:val="18"/>
          <w:szCs w:val="18"/>
        </w:rPr>
      </w:pPr>
      <w:r>
        <w:rPr>
          <w:rFonts w:ascii="Arial" w:eastAsia="SimSun" w:hAnsi="Arial" w:cs="Open Sans"/>
          <w:b/>
          <w:color w:val="000000" w:themeColor="text1"/>
          <w:sz w:val="18"/>
          <w:szCs w:val="18"/>
        </w:rPr>
        <w:br w:type="page"/>
      </w:r>
    </w:p>
    <w:p w14:paraId="0795250D" w14:textId="77777777" w:rsidR="00824659" w:rsidRPr="00D1728E" w:rsidRDefault="00824659" w:rsidP="001757CD">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rPr>
      </w:pPr>
    </w:p>
    <w:p w14:paraId="0093FDA5" w14:textId="6EF792FF" w:rsidR="006E1881" w:rsidRPr="00A47F68" w:rsidRDefault="006E1881" w:rsidP="006E1881">
      <w:pPr>
        <w:pStyle w:val="Textkrper"/>
        <w:spacing w:line="280" w:lineRule="atLeast"/>
        <w:rPr>
          <w:color w:val="000000" w:themeColor="text1"/>
        </w:rPr>
      </w:pPr>
      <w:bookmarkStart w:id="1" w:name="_Hlk166240551"/>
      <w:r>
        <w:rPr>
          <w:color w:val="000000" w:themeColor="text1"/>
        </w:rPr>
        <w:t>About ASMPT Semiconductor Solutions (</w:t>
      </w:r>
      <w:r w:rsidR="00FA67FB">
        <w:rPr>
          <w:color w:val="000000" w:themeColor="text1"/>
        </w:rPr>
        <w:t>“</w:t>
      </w:r>
      <w:r>
        <w:rPr>
          <w:color w:val="000000" w:themeColor="text1"/>
        </w:rPr>
        <w:t>ASMPT SEMI</w:t>
      </w:r>
      <w:r w:rsidR="00FA67FB">
        <w:rPr>
          <w:color w:val="000000" w:themeColor="text1"/>
        </w:rPr>
        <w:t>”</w:t>
      </w:r>
      <w:r>
        <w:rPr>
          <w:color w:val="000000" w:themeColor="text1"/>
        </w:rPr>
        <w:t>)</w:t>
      </w:r>
      <w:bookmarkStart w:id="2" w:name="_Hlk131065276"/>
    </w:p>
    <w:p w14:paraId="7B25B413" w14:textId="3FC76EBF" w:rsidR="006E1881" w:rsidRPr="00D1728E" w:rsidRDefault="006E1881" w:rsidP="006E1881">
      <w:pPr>
        <w:pStyle w:val="Textkrper"/>
        <w:spacing w:before="120" w:line="360" w:lineRule="auto"/>
        <w:jc w:val="both"/>
        <w:rPr>
          <w:rFonts w:cs="Arial"/>
          <w:b w:val="0"/>
          <w:color w:val="auto"/>
        </w:rPr>
      </w:pPr>
      <w:r>
        <w:rPr>
          <w:b w:val="0"/>
          <w:color w:val="auto"/>
        </w:rPr>
        <w:t xml:space="preserve">ASMPT SEMI is the leading provider of forward-looking solutions for advanced packaging and semiconductor assembly. With its commitment to innovation and customer satisfaction, ASMPT SEMI offers a comprehensive range of products and </w:t>
      </w:r>
      <w:r>
        <w:rPr>
          <w:b w:val="0"/>
          <w:color w:val="auto"/>
        </w:rPr>
        <w:lastRenderedPageBreak/>
        <w:t>services that meet the evolving needs of the microelectronics industry. Expert knowledge covers areas such as flip-chip and wafer-level packaging, advanced interconnect technologies, and more. ASMPT SEMI</w:t>
      </w:r>
      <w:r w:rsidR="00FA67FB">
        <w:rPr>
          <w:b w:val="0"/>
          <w:color w:val="auto"/>
        </w:rPr>
        <w:t>’</w:t>
      </w:r>
      <w:r>
        <w:rPr>
          <w:b w:val="0"/>
          <w:color w:val="auto"/>
        </w:rPr>
        <w:t>s state-of-the-art solutions enable customers to achieve higher performance, greater reliability, and improved cost-efficiency in the manufacturing of their semiconductor devices.</w:t>
      </w:r>
    </w:p>
    <w:bookmarkEnd w:id="1"/>
    <w:p w14:paraId="00AA03DB" w14:textId="6221BF8F" w:rsidR="006E1881" w:rsidRPr="00D1728E" w:rsidRDefault="006E1881" w:rsidP="006E1881">
      <w:pPr>
        <w:pStyle w:val="Textkrper"/>
        <w:spacing w:before="120"/>
        <w:rPr>
          <w:bCs w:val="0"/>
        </w:rPr>
      </w:pPr>
      <w:r>
        <w:t>For more information about ASMPT SEMI, visit semi.asmpt.com.</w:t>
      </w:r>
      <w:bookmarkEnd w:id="2"/>
    </w:p>
    <w:p w14:paraId="79A4A898" w14:textId="77777777" w:rsidR="009C68F7" w:rsidRPr="00FA67FB" w:rsidRDefault="009C68F7" w:rsidP="009C68F7">
      <w:pPr>
        <w:pStyle w:val="PIAbspann"/>
        <w:spacing w:before="120" w:line="240" w:lineRule="auto"/>
        <w:rPr>
          <w:b/>
          <w:bCs/>
          <w:sz w:val="22"/>
          <w:szCs w:val="22"/>
        </w:rPr>
      </w:pPr>
    </w:p>
    <w:p w14:paraId="5F7346A0" w14:textId="565AEF8C" w:rsidR="0009477A" w:rsidRPr="00A47F68" w:rsidRDefault="0009477A" w:rsidP="009C68F7">
      <w:pPr>
        <w:pStyle w:val="PIAbspann"/>
        <w:spacing w:before="120" w:line="240" w:lineRule="auto"/>
        <w:rPr>
          <w:b/>
          <w:bCs/>
          <w:sz w:val="22"/>
          <w:szCs w:val="22"/>
        </w:rPr>
      </w:pPr>
      <w:r>
        <w:rPr>
          <w:b/>
          <w:sz w:val="22"/>
        </w:rPr>
        <w:t>Media contacts:</w:t>
      </w:r>
    </w:p>
    <w:p w14:paraId="66208777" w14:textId="77777777" w:rsidR="00620A4B" w:rsidRPr="00D1728E" w:rsidRDefault="00620A4B" w:rsidP="00620A4B">
      <w:pPr>
        <w:pStyle w:val="PIAbspann"/>
        <w:jc w:val="left"/>
      </w:pPr>
      <w:bookmarkStart w:id="3" w:name="_Hlk110240856"/>
      <w:r>
        <w:t>Global ASMPT Press Office</w:t>
      </w:r>
      <w:r>
        <w:br/>
        <w:t>ASMPT Ltd</w:t>
      </w:r>
      <w:r>
        <w:br/>
        <w:t>Susanne Oswald</w:t>
      </w:r>
      <w:r>
        <w:br/>
        <w:t>Rupert-Mayer-Strasse 48</w:t>
      </w:r>
      <w:r>
        <w:cr/>
      </w:r>
      <w:r>
        <w:br/>
        <w:t>81379 Munich</w:t>
      </w:r>
      <w:r>
        <w:br/>
        <w:t>Germany</w:t>
      </w:r>
      <w:r>
        <w:cr/>
      </w:r>
      <w:r>
        <w:br/>
        <w:t>Tel: +49 89 20800-26439</w:t>
      </w:r>
      <w:r>
        <w:br/>
        <w:t xml:space="preserve">E-mail: </w:t>
      </w:r>
      <w:hyperlink r:id="rId13" w:history="1">
        <w:r>
          <w:rPr>
            <w:rStyle w:val="Hyperlink"/>
          </w:rPr>
          <w:t>susanne.oswald@asmpt.com</w:t>
        </w:r>
      </w:hyperlink>
      <w:r>
        <w:br/>
        <w:t>Website: asmpt.com</w:t>
      </w:r>
    </w:p>
    <w:p w14:paraId="44BE7B95" w14:textId="26087423" w:rsidR="008A425E" w:rsidRPr="00FA67FB" w:rsidRDefault="008A425E" w:rsidP="009C68F7">
      <w:pPr>
        <w:pStyle w:val="PIAbspann"/>
        <w:spacing w:before="120"/>
        <w:jc w:val="left"/>
        <w:rPr>
          <w:color w:val="000000" w:themeColor="text1"/>
        </w:rPr>
      </w:pPr>
    </w:p>
    <w:p w14:paraId="0A194886" w14:textId="0D2F0120" w:rsidR="00872E20" w:rsidRPr="00D1728E" w:rsidRDefault="0085301F" w:rsidP="009C68F7">
      <w:pPr>
        <w:pStyle w:val="PIAbspann"/>
        <w:spacing w:before="120"/>
        <w:jc w:val="left"/>
      </w:pPr>
      <w:r>
        <w:t>HighTech communications GmbH</w:t>
      </w:r>
      <w:r>
        <w:br/>
        <w:t>Barbara Ostermeier</w:t>
      </w:r>
      <w:r>
        <w:br/>
      </w:r>
      <w:proofErr w:type="spellStart"/>
      <w:r>
        <w:t>Brunhamstrasse</w:t>
      </w:r>
      <w:proofErr w:type="spellEnd"/>
      <w:r>
        <w:t xml:space="preserve"> 21</w:t>
      </w:r>
      <w:r>
        <w:br/>
        <w:t>81249 Munich</w:t>
      </w:r>
      <w:r>
        <w:br/>
        <w:t>Germany</w:t>
      </w:r>
      <w:r>
        <w:br/>
        <w:t>Tel.: +49-89 500778-10|</w:t>
      </w:r>
      <w:r>
        <w:br/>
        <w:t>E-mail: b.ostermeier@htcm.de</w:t>
      </w:r>
      <w:r>
        <w:br/>
        <w:t>Website: www.htcm.de</w:t>
      </w:r>
      <w:bookmarkEnd w:id="3"/>
    </w:p>
    <w:sectPr w:rsidR="00872E20" w:rsidRPr="00D1728E" w:rsidSect="003F3DB6">
      <w:headerReference w:type="default" r:id="rId14"/>
      <w:footerReference w:type="default" r:id="rId15"/>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45C60" w14:textId="77777777" w:rsidR="00732043" w:rsidRDefault="00732043">
      <w:r>
        <w:separator/>
      </w:r>
    </w:p>
  </w:endnote>
  <w:endnote w:type="continuationSeparator" w:id="0">
    <w:p w14:paraId="2A90C1B0" w14:textId="77777777" w:rsidR="00732043" w:rsidRDefault="0073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B42" w14:textId="3867B061" w:rsidR="00C1019C" w:rsidRPr="00CB0EBA" w:rsidRDefault="00465FB3" w:rsidP="003F3DB6">
    <w:pPr>
      <w:pStyle w:val="PIFusszeile"/>
    </w:pPr>
    <w:r>
      <w:rPr>
        <w:rStyle w:val="Seitenzahl"/>
        <w:rFonts w:cs="Arial"/>
      </w:rPr>
      <w:t>ASMPTCR1PI019_en</w:t>
    </w:r>
    <w:r w:rsidR="00C1019C">
      <w:rPr>
        <w:rStyle w:val="Seitenzahl"/>
      </w:rPr>
      <w:tab/>
    </w:r>
    <w:r w:rsidR="00726AAB" w:rsidRPr="00726AAB">
      <w:rPr>
        <w:rStyle w:val="Seitenzahl"/>
        <w:rFonts w:cs="Arial"/>
      </w:rPr>
      <w:fldChar w:fldCharType="begin"/>
    </w:r>
    <w:r w:rsidR="00726AAB" w:rsidRPr="00DB5789">
      <w:rPr>
        <w:rStyle w:val="Seitenzahl"/>
        <w:rFonts w:cs="Arial"/>
      </w:rPr>
      <w:instrText>PAGE   \* MERGEFORMAT</w:instrText>
    </w:r>
    <w:r w:rsidR="00726AAB" w:rsidRPr="00726AAB">
      <w:rPr>
        <w:rStyle w:val="Seitenzahl"/>
        <w:rFonts w:cs="Arial"/>
      </w:rPr>
      <w:fldChar w:fldCharType="separate"/>
    </w:r>
    <w:r w:rsidR="00726AAB" w:rsidRPr="00DB5789">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77CFE" w14:textId="77777777" w:rsidR="00732043" w:rsidRDefault="00732043">
      <w:r>
        <w:separator/>
      </w:r>
    </w:p>
  </w:footnote>
  <w:footnote w:type="continuationSeparator" w:id="0">
    <w:p w14:paraId="1E9498E0" w14:textId="77777777" w:rsidR="00732043" w:rsidRDefault="00732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0D02"/>
    <w:rsid w:val="000C1270"/>
    <w:rsid w:val="000C1805"/>
    <w:rsid w:val="000C18E2"/>
    <w:rsid w:val="000C1A80"/>
    <w:rsid w:val="000C264C"/>
    <w:rsid w:val="000C368B"/>
    <w:rsid w:val="000C6860"/>
    <w:rsid w:val="000C6A5F"/>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6F2"/>
    <w:rsid w:val="00111882"/>
    <w:rsid w:val="00111F76"/>
    <w:rsid w:val="00112D4B"/>
    <w:rsid w:val="00113FDC"/>
    <w:rsid w:val="00116B60"/>
    <w:rsid w:val="0012057C"/>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076"/>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450F"/>
    <w:rsid w:val="001955E2"/>
    <w:rsid w:val="00196228"/>
    <w:rsid w:val="00196BDE"/>
    <w:rsid w:val="001972A1"/>
    <w:rsid w:val="001A0658"/>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3F65"/>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349F"/>
    <w:rsid w:val="00297648"/>
    <w:rsid w:val="002A0460"/>
    <w:rsid w:val="002A0891"/>
    <w:rsid w:val="002A2D14"/>
    <w:rsid w:val="002A5BB4"/>
    <w:rsid w:val="002A62DC"/>
    <w:rsid w:val="002A6DDA"/>
    <w:rsid w:val="002A722C"/>
    <w:rsid w:val="002B1274"/>
    <w:rsid w:val="002B7D60"/>
    <w:rsid w:val="002C0672"/>
    <w:rsid w:val="002C147A"/>
    <w:rsid w:val="002C4AD7"/>
    <w:rsid w:val="002C566C"/>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32A"/>
    <w:rsid w:val="00311637"/>
    <w:rsid w:val="00312B0D"/>
    <w:rsid w:val="003172EC"/>
    <w:rsid w:val="003174BE"/>
    <w:rsid w:val="00320AEC"/>
    <w:rsid w:val="0032105E"/>
    <w:rsid w:val="0032188F"/>
    <w:rsid w:val="003227C7"/>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4661"/>
    <w:rsid w:val="003451E3"/>
    <w:rsid w:val="00346555"/>
    <w:rsid w:val="00346B28"/>
    <w:rsid w:val="00350944"/>
    <w:rsid w:val="003534FF"/>
    <w:rsid w:val="00355E61"/>
    <w:rsid w:val="003609F9"/>
    <w:rsid w:val="00361407"/>
    <w:rsid w:val="003617FE"/>
    <w:rsid w:val="00361936"/>
    <w:rsid w:val="00362B42"/>
    <w:rsid w:val="003633B4"/>
    <w:rsid w:val="00364BCC"/>
    <w:rsid w:val="00365D11"/>
    <w:rsid w:val="00366FF7"/>
    <w:rsid w:val="00370ACF"/>
    <w:rsid w:val="00370E0B"/>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20A4"/>
    <w:rsid w:val="003D35CF"/>
    <w:rsid w:val="003D49E3"/>
    <w:rsid w:val="003D6C03"/>
    <w:rsid w:val="003E006B"/>
    <w:rsid w:val="003E02B3"/>
    <w:rsid w:val="003E269A"/>
    <w:rsid w:val="003E2C38"/>
    <w:rsid w:val="003E303A"/>
    <w:rsid w:val="003E59C9"/>
    <w:rsid w:val="003E5AC7"/>
    <w:rsid w:val="003E7BFB"/>
    <w:rsid w:val="003F0A11"/>
    <w:rsid w:val="003F0F1A"/>
    <w:rsid w:val="003F375B"/>
    <w:rsid w:val="003F3DB6"/>
    <w:rsid w:val="003F4A26"/>
    <w:rsid w:val="003F5A27"/>
    <w:rsid w:val="003F7752"/>
    <w:rsid w:val="004016F1"/>
    <w:rsid w:val="00401AF6"/>
    <w:rsid w:val="0040268E"/>
    <w:rsid w:val="0040352E"/>
    <w:rsid w:val="00405DDE"/>
    <w:rsid w:val="00405EA8"/>
    <w:rsid w:val="0040604A"/>
    <w:rsid w:val="0040707E"/>
    <w:rsid w:val="00407E5E"/>
    <w:rsid w:val="004119DA"/>
    <w:rsid w:val="00411FA4"/>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5FB3"/>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4A5"/>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81A"/>
    <w:rsid w:val="004B3EB7"/>
    <w:rsid w:val="004B461D"/>
    <w:rsid w:val="004B596B"/>
    <w:rsid w:val="004B7292"/>
    <w:rsid w:val="004C1DBA"/>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0A6A"/>
    <w:rsid w:val="004F2274"/>
    <w:rsid w:val="004F56A5"/>
    <w:rsid w:val="0050000C"/>
    <w:rsid w:val="00501002"/>
    <w:rsid w:val="00501C2B"/>
    <w:rsid w:val="00502452"/>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37E52"/>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60448"/>
    <w:rsid w:val="006615D6"/>
    <w:rsid w:val="00661ADD"/>
    <w:rsid w:val="0066278B"/>
    <w:rsid w:val="0066311C"/>
    <w:rsid w:val="0066346E"/>
    <w:rsid w:val="0066570C"/>
    <w:rsid w:val="00667C84"/>
    <w:rsid w:val="0067089E"/>
    <w:rsid w:val="00672B38"/>
    <w:rsid w:val="0067344B"/>
    <w:rsid w:val="00677A42"/>
    <w:rsid w:val="00680950"/>
    <w:rsid w:val="00680B4E"/>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1881"/>
    <w:rsid w:val="006E3113"/>
    <w:rsid w:val="006E3578"/>
    <w:rsid w:val="006E4623"/>
    <w:rsid w:val="006E6C4F"/>
    <w:rsid w:val="006E7645"/>
    <w:rsid w:val="006F05BB"/>
    <w:rsid w:val="006F0633"/>
    <w:rsid w:val="006F25E1"/>
    <w:rsid w:val="006F2DBB"/>
    <w:rsid w:val="006F6FC8"/>
    <w:rsid w:val="006F7B64"/>
    <w:rsid w:val="00700A4A"/>
    <w:rsid w:val="007014ED"/>
    <w:rsid w:val="0070243C"/>
    <w:rsid w:val="0070471A"/>
    <w:rsid w:val="00704CD5"/>
    <w:rsid w:val="00704F39"/>
    <w:rsid w:val="007058D8"/>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043"/>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C40"/>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0DC1"/>
    <w:rsid w:val="007A16FB"/>
    <w:rsid w:val="007A1F1E"/>
    <w:rsid w:val="007A210D"/>
    <w:rsid w:val="007A2B71"/>
    <w:rsid w:val="007A2EF6"/>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C5844"/>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7CD"/>
    <w:rsid w:val="00817822"/>
    <w:rsid w:val="00821508"/>
    <w:rsid w:val="0082185F"/>
    <w:rsid w:val="008218AF"/>
    <w:rsid w:val="00822AB3"/>
    <w:rsid w:val="00822C32"/>
    <w:rsid w:val="00822F4E"/>
    <w:rsid w:val="00824010"/>
    <w:rsid w:val="00824057"/>
    <w:rsid w:val="00824659"/>
    <w:rsid w:val="00825301"/>
    <w:rsid w:val="00825A00"/>
    <w:rsid w:val="00826870"/>
    <w:rsid w:val="00827736"/>
    <w:rsid w:val="0083165C"/>
    <w:rsid w:val="00834207"/>
    <w:rsid w:val="00835C9E"/>
    <w:rsid w:val="008366A1"/>
    <w:rsid w:val="00836CB8"/>
    <w:rsid w:val="00837F4F"/>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568E0"/>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3"/>
    <w:rsid w:val="008D7695"/>
    <w:rsid w:val="008D7885"/>
    <w:rsid w:val="008E0575"/>
    <w:rsid w:val="008E166C"/>
    <w:rsid w:val="008E2154"/>
    <w:rsid w:val="008E3933"/>
    <w:rsid w:val="008E5A6E"/>
    <w:rsid w:val="008E5B9C"/>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2F65"/>
    <w:rsid w:val="00933AE9"/>
    <w:rsid w:val="00934DE1"/>
    <w:rsid w:val="00935A3B"/>
    <w:rsid w:val="00936A45"/>
    <w:rsid w:val="00936B37"/>
    <w:rsid w:val="00936FF5"/>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A7DEF"/>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6D9D"/>
    <w:rsid w:val="00A37C27"/>
    <w:rsid w:val="00A37CC7"/>
    <w:rsid w:val="00A37F27"/>
    <w:rsid w:val="00A41015"/>
    <w:rsid w:val="00A4128F"/>
    <w:rsid w:val="00A43FBE"/>
    <w:rsid w:val="00A45C23"/>
    <w:rsid w:val="00A45CEE"/>
    <w:rsid w:val="00A4623D"/>
    <w:rsid w:val="00A47F68"/>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939A0"/>
    <w:rsid w:val="00A95675"/>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B75ED"/>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AF685D"/>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39E2"/>
    <w:rsid w:val="00B55432"/>
    <w:rsid w:val="00B55ACD"/>
    <w:rsid w:val="00B5718A"/>
    <w:rsid w:val="00B60696"/>
    <w:rsid w:val="00B61315"/>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3A29"/>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0DA4"/>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375D"/>
    <w:rsid w:val="00D14850"/>
    <w:rsid w:val="00D150C6"/>
    <w:rsid w:val="00D15906"/>
    <w:rsid w:val="00D1728E"/>
    <w:rsid w:val="00D22008"/>
    <w:rsid w:val="00D225FF"/>
    <w:rsid w:val="00D236C5"/>
    <w:rsid w:val="00D23BCE"/>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0741"/>
    <w:rsid w:val="00D517E6"/>
    <w:rsid w:val="00D518A5"/>
    <w:rsid w:val="00D52972"/>
    <w:rsid w:val="00D5453A"/>
    <w:rsid w:val="00D55784"/>
    <w:rsid w:val="00D566DF"/>
    <w:rsid w:val="00D57537"/>
    <w:rsid w:val="00D57C47"/>
    <w:rsid w:val="00D600B7"/>
    <w:rsid w:val="00D61D8F"/>
    <w:rsid w:val="00D6720D"/>
    <w:rsid w:val="00D705A1"/>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111"/>
    <w:rsid w:val="00D94B3E"/>
    <w:rsid w:val="00D9537B"/>
    <w:rsid w:val="00D954EB"/>
    <w:rsid w:val="00D95964"/>
    <w:rsid w:val="00DA0887"/>
    <w:rsid w:val="00DA1CFA"/>
    <w:rsid w:val="00DA1E2A"/>
    <w:rsid w:val="00DA3E6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6B89"/>
    <w:rsid w:val="00DD7409"/>
    <w:rsid w:val="00DE02E3"/>
    <w:rsid w:val="00DE1920"/>
    <w:rsid w:val="00DE59C9"/>
    <w:rsid w:val="00DE70E3"/>
    <w:rsid w:val="00DF0315"/>
    <w:rsid w:val="00DF2314"/>
    <w:rsid w:val="00DF24D7"/>
    <w:rsid w:val="00DF2D85"/>
    <w:rsid w:val="00DF3905"/>
    <w:rsid w:val="00DF4530"/>
    <w:rsid w:val="00DF68AC"/>
    <w:rsid w:val="00DF6E28"/>
    <w:rsid w:val="00DF73A8"/>
    <w:rsid w:val="00DF758C"/>
    <w:rsid w:val="00E012A2"/>
    <w:rsid w:val="00E0196C"/>
    <w:rsid w:val="00E01B33"/>
    <w:rsid w:val="00E02D12"/>
    <w:rsid w:val="00E056AA"/>
    <w:rsid w:val="00E05D9C"/>
    <w:rsid w:val="00E06DA7"/>
    <w:rsid w:val="00E07007"/>
    <w:rsid w:val="00E0752C"/>
    <w:rsid w:val="00E10BE8"/>
    <w:rsid w:val="00E11EC9"/>
    <w:rsid w:val="00E126F7"/>
    <w:rsid w:val="00E13007"/>
    <w:rsid w:val="00E147A3"/>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2F69"/>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1D18"/>
    <w:rsid w:val="00FA2880"/>
    <w:rsid w:val="00FA2D5C"/>
    <w:rsid w:val="00FA3019"/>
    <w:rsid w:val="00FA422C"/>
    <w:rsid w:val="00FA6441"/>
    <w:rsid w:val="00FA67FB"/>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03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B8DE4FB9-FF16-4F56-9AA7-F0700666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0684">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949433629">
      <w:bodyDiv w:val="1"/>
      <w:marLeft w:val="0"/>
      <w:marRight w:val="0"/>
      <w:marTop w:val="0"/>
      <w:marBottom w:val="0"/>
      <w:divBdr>
        <w:top w:val="none" w:sz="0" w:space="0" w:color="auto"/>
        <w:left w:val="none" w:sz="0" w:space="0" w:color="auto"/>
        <w:bottom w:val="none" w:sz="0" w:space="0" w:color="auto"/>
        <w:right w:val="none" w:sz="0" w:space="0" w:color="auto"/>
      </w:divBdr>
    </w:div>
    <w:div w:id="988555312">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yperlink" Target="mailto:susanne.oswald@asm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814</Words>
  <Characters>5102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5905</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Marcus Planckh</dc:creator>
  <cp:keywords/>
  <cp:lastModifiedBy>Brigitte Basilio</cp:lastModifiedBy>
  <cp:revision>6</cp:revision>
  <cp:lastPrinted>2013-08-22T07:31:00Z</cp:lastPrinted>
  <dcterms:created xsi:type="dcterms:W3CDTF">2024-06-24T11:54:00Z</dcterms:created>
  <dcterms:modified xsi:type="dcterms:W3CDTF">2024-06-24T11:56:00Z</dcterms:modified>
</cp:coreProperties>
</file>