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D1A87" w14:textId="77777777" w:rsidR="00281D41" w:rsidRDefault="00DD02EE">
      <w:pPr>
        <w:pStyle w:val="berschrift1"/>
        <w:spacing w:before="720" w:after="720" w:line="260" w:lineRule="exact"/>
        <w:rPr>
          <w:sz w:val="20"/>
        </w:rPr>
      </w:pPr>
      <w:r>
        <w:rPr>
          <w:sz w:val="20"/>
        </w:rPr>
        <w:t>COMUNICADO DE PRENSA</w:t>
      </w:r>
    </w:p>
    <w:p w14:paraId="077D1A88" w14:textId="77777777" w:rsidR="00281D41" w:rsidRDefault="00DD02EE">
      <w:pPr>
        <w:rPr>
          <w:rFonts w:ascii="Arial" w:hAnsi="Arial" w:cs="Arial"/>
          <w:b/>
          <w:bCs/>
        </w:rPr>
      </w:pPr>
      <w:r>
        <w:rPr>
          <w:rFonts w:ascii="Arial" w:hAnsi="Arial"/>
          <w:b/>
        </w:rPr>
        <w:t xml:space="preserve">Würth Elektronik presenta la obra revisada «Trilogy of Wireless Power Transfer» </w:t>
      </w:r>
    </w:p>
    <w:p w14:paraId="077D1A89" w14:textId="77777777" w:rsidR="00281D41" w:rsidRDefault="00DD02EE">
      <w:pPr>
        <w:pStyle w:val="Kopfzeile"/>
        <w:tabs>
          <w:tab w:val="clear" w:pos="4536"/>
          <w:tab w:val="clear" w:pos="9072"/>
        </w:tabs>
        <w:spacing w:before="360" w:after="360"/>
        <w:rPr>
          <w:rFonts w:ascii="Arial" w:hAnsi="Arial" w:cs="Arial"/>
          <w:b/>
          <w:bCs/>
          <w:sz w:val="36"/>
        </w:rPr>
      </w:pPr>
      <w:r>
        <w:rPr>
          <w:rFonts w:ascii="Arial" w:hAnsi="Arial"/>
          <w:b/>
          <w:color w:val="000000"/>
          <w:sz w:val="36"/>
        </w:rPr>
        <w:t>Ampliación del libro especializado sobre transmisión inalámbrica de energía</w:t>
      </w:r>
    </w:p>
    <w:p w14:paraId="077D1A8A" w14:textId="6D8DA66A" w:rsidR="00281D41" w:rsidRDefault="00DD02EE">
      <w:pPr>
        <w:pStyle w:val="Textkrper"/>
        <w:spacing w:before="120" w:after="120" w:line="260" w:lineRule="exact"/>
        <w:jc w:val="both"/>
        <w:rPr>
          <w:rFonts w:ascii="Arial" w:hAnsi="Arial"/>
          <w:color w:val="000000"/>
        </w:rPr>
      </w:pPr>
      <w:r>
        <w:rPr>
          <w:rFonts w:ascii="Arial" w:hAnsi="Arial"/>
          <w:color w:val="000000"/>
        </w:rPr>
        <w:t xml:space="preserve">Waldenburg (Alemania), </w:t>
      </w:r>
      <w:r w:rsidR="0099028A">
        <w:rPr>
          <w:rFonts w:ascii="Arial" w:hAnsi="Arial"/>
          <w:color w:val="000000"/>
        </w:rPr>
        <w:t>12</w:t>
      </w:r>
      <w:r>
        <w:rPr>
          <w:rFonts w:ascii="Arial" w:hAnsi="Arial"/>
          <w:color w:val="000000"/>
        </w:rPr>
        <w:t xml:space="preserve"> de </w:t>
      </w:r>
      <w:r w:rsidR="00B73907">
        <w:rPr>
          <w:rFonts w:ascii="Arial" w:hAnsi="Arial"/>
          <w:color w:val="000000"/>
        </w:rPr>
        <w:t>junio</w:t>
      </w:r>
      <w:r>
        <w:rPr>
          <w:rFonts w:ascii="Arial" w:hAnsi="Arial"/>
          <w:color w:val="000000"/>
        </w:rPr>
        <w:t xml:space="preserve"> de 2024 – El libro especializado «Trilogy of Wireless Power Transfer» de Würth Elektronik se ha publicado en una segunda edición revisada. El fabricante con la gama más amplia de bobinas de potencia inalámbricas del mercado divulga sus conocimientos especializados en materia de transmisión inalámbrica de energía. Este práctico libro especializado consta de tres partes: fundamentos de la transmisión inalámbrica de energía, sistemas de transmisión de energía inalámbrica y aplicaciones. Cuesta 19 euros y pued</w:t>
      </w:r>
      <w:r>
        <w:rPr>
          <w:rFonts w:ascii="Arial" w:hAnsi="Arial"/>
          <w:color w:val="000000"/>
        </w:rPr>
        <w:t>e adquirirse a través de Würth Elektronik.</w:t>
      </w:r>
    </w:p>
    <w:p w14:paraId="077D1A8B" w14:textId="038DFF9F" w:rsidR="00281D41" w:rsidRDefault="00DD02EE">
      <w:pPr>
        <w:pStyle w:val="Textkrper"/>
        <w:spacing w:before="120" w:after="120" w:line="260" w:lineRule="exact"/>
        <w:jc w:val="both"/>
        <w:rPr>
          <w:rFonts w:ascii="Arial" w:hAnsi="Arial"/>
          <w:b w:val="0"/>
          <w:bCs w:val="0"/>
        </w:rPr>
      </w:pPr>
      <w:r>
        <w:rPr>
          <w:rFonts w:ascii="Arial" w:hAnsi="Arial"/>
          <w:b w:val="0"/>
        </w:rPr>
        <w:t xml:space="preserve">La primera parte del libro especializado ha sido completamente revisada y explica los principios físicos de los distintos métodos de transferencia de energía sin contacto. También se abordan las normas pertinentes y los avances tecnológicos. La segunda parte describe los sistemas de transmisión de energía inalámbrica así como sus diferentes topologías. En el mismo capítulo se trata la correcta selección de las bobinas transmisoras y receptoras necesarias para aumentar la eficacia y también los transistores </w:t>
      </w:r>
      <w:r>
        <w:rPr>
          <w:rFonts w:ascii="Arial" w:hAnsi="Arial"/>
          <w:b w:val="0"/>
        </w:rPr>
        <w:t>disponibles. En la tercera parte práctica se ha añadido una aplicación innovadora: comunicación NFC con transmisión inalámbrica simultánea de energía. Una visión general de los temas relacionados con las EMC completa los ejemplos de aplicación recopilados en la sección práctica. Los autores de la «Trilogy of Wireless Power Transfer» son Cem Som, Vice President Europe en Wurth Electronics Midcom Inc, y el Dr. Michael de Rooij, Vice President Applications Engineering en Efficient Power Conversion Corporation,</w:t>
      </w:r>
      <w:r>
        <w:rPr>
          <w:rFonts w:ascii="Arial" w:hAnsi="Arial"/>
          <w:b w:val="0"/>
        </w:rPr>
        <w:t xml:space="preserve"> Inc.</w:t>
      </w:r>
    </w:p>
    <w:p w14:paraId="077D1A8C" w14:textId="77777777" w:rsidR="00281D41" w:rsidRDefault="00281D41">
      <w:pPr>
        <w:pStyle w:val="Textkrper"/>
        <w:spacing w:before="120" w:after="120" w:line="260" w:lineRule="exact"/>
        <w:jc w:val="both"/>
        <w:rPr>
          <w:rFonts w:ascii="Arial" w:hAnsi="Arial"/>
          <w:b w:val="0"/>
          <w:bCs w:val="0"/>
        </w:rPr>
      </w:pPr>
    </w:p>
    <w:p w14:paraId="077D1A8D" w14:textId="77777777" w:rsidR="00281D41" w:rsidRDefault="00281D41">
      <w:pPr>
        <w:pStyle w:val="Textkrper"/>
        <w:spacing w:before="120" w:after="120" w:line="260" w:lineRule="exact"/>
        <w:jc w:val="both"/>
        <w:rPr>
          <w:rFonts w:ascii="Arial" w:hAnsi="Arial"/>
          <w:b w:val="0"/>
          <w:bCs w:val="0"/>
        </w:rPr>
      </w:pPr>
    </w:p>
    <w:p w14:paraId="077D1A8E" w14:textId="77777777" w:rsidR="00281D41" w:rsidRDefault="00281D41">
      <w:pPr>
        <w:pStyle w:val="PITextkrper"/>
        <w:pBdr>
          <w:top w:val="single" w:sz="4" w:space="1" w:color="auto"/>
        </w:pBdr>
        <w:spacing w:before="240"/>
        <w:rPr>
          <w:b/>
          <w:sz w:val="18"/>
          <w:szCs w:val="18"/>
        </w:rPr>
      </w:pPr>
    </w:p>
    <w:p w14:paraId="077D1A8F" w14:textId="77777777" w:rsidR="00281D41" w:rsidRDefault="00DD02EE">
      <w:pPr>
        <w:spacing w:after="120" w:line="280" w:lineRule="exact"/>
        <w:rPr>
          <w:rFonts w:ascii="Arial" w:hAnsi="Arial" w:cs="Arial"/>
          <w:b/>
          <w:bCs/>
          <w:sz w:val="18"/>
          <w:szCs w:val="18"/>
        </w:rPr>
      </w:pPr>
      <w:r>
        <w:rPr>
          <w:rFonts w:ascii="Arial" w:hAnsi="Arial"/>
          <w:b/>
          <w:sz w:val="18"/>
        </w:rPr>
        <w:t>Imágenes disponibles</w:t>
      </w:r>
    </w:p>
    <w:p w14:paraId="077D1A90" w14:textId="77777777" w:rsidR="00281D41" w:rsidRDefault="00DD02EE">
      <w:pPr>
        <w:spacing w:after="120" w:line="280" w:lineRule="exact"/>
        <w:rPr>
          <w:rStyle w:val="Hyperlink"/>
        </w:rPr>
      </w:pPr>
      <w:r>
        <w:rPr>
          <w:rFonts w:ascii="Arial" w:hAnsi="Arial"/>
          <w:sz w:val="18"/>
        </w:rPr>
        <w:t>Las siguientes imágenes se encuentran disponibles para impresión y descarga en:</w:t>
      </w:r>
      <w:r>
        <w:t xml:space="preserve"> </w:t>
      </w:r>
      <w:hyperlink r:id="rId8" w:history="1">
        <w:r>
          <w:rPr>
            <w:rStyle w:val="Hyperlink"/>
            <w:rFonts w:ascii="Arial" w:hAnsi="Arial" w:cs="Arial"/>
            <w:sz w:val="18"/>
            <w:szCs w:val="18"/>
          </w:rPr>
          <w:t>https://kk.htcm.de/press-releases/wuerth/</w:t>
        </w:r>
      </w:hyperlink>
    </w:p>
    <w:p w14:paraId="077D1A91" w14:textId="77777777" w:rsidR="00281D41" w:rsidRDefault="00281D41">
      <w:pPr>
        <w:spacing w:after="120" w:line="280" w:lineRule="exact"/>
        <w:rPr>
          <w:rFonts w:ascii="Arial" w:hAnsi="Arial" w:cs="Arial"/>
          <w:sz w:val="18"/>
          <w:szCs w:val="18"/>
        </w:rPr>
      </w:pPr>
    </w:p>
    <w:tbl>
      <w:tblPr>
        <w:tblW w:w="67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261"/>
      </w:tblGrid>
      <w:tr w:rsidR="00281D41" w14:paraId="077D1A97" w14:textId="77777777">
        <w:trPr>
          <w:trHeight w:val="1701"/>
        </w:trPr>
        <w:tc>
          <w:tcPr>
            <w:tcW w:w="3510" w:type="dxa"/>
          </w:tcPr>
          <w:p w14:paraId="077D1A92" w14:textId="2A42A0BF" w:rsidR="00281D41" w:rsidRDefault="00DD02EE">
            <w:pPr>
              <w:pStyle w:val="txt"/>
              <w:rPr>
                <w:b/>
                <w:bCs/>
                <w:sz w:val="18"/>
              </w:rPr>
            </w:pPr>
            <w:r>
              <w:rPr>
                <w:b/>
              </w:rPr>
              <w:lastRenderedPageBreak/>
              <w:br/>
            </w:r>
            <w:r>
              <w:rPr>
                <w:noProof/>
                <w:lang w:eastAsia="zh-TW"/>
              </w:rPr>
              <w:drawing>
                <wp:inline distT="0" distB="0" distL="0" distR="0" wp14:anchorId="077D1A99" wp14:editId="077D1A9A">
                  <wp:extent cx="2018665" cy="1543685"/>
                  <wp:effectExtent l="0" t="0" r="0" b="0"/>
                  <wp:docPr id="12412379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1765" b="11765"/>
                          <a:stretch>
                            <a:fillRect/>
                          </a:stretch>
                        </pic:blipFill>
                        <pic:spPr bwMode="auto">
                          <a:xfrm>
                            <a:off x="0" y="0"/>
                            <a:ext cx="2018665" cy="1543685"/>
                          </a:xfrm>
                          <a:prstGeom prst="rect">
                            <a:avLst/>
                          </a:prstGeom>
                          <a:noFill/>
                          <a:ln>
                            <a:noFill/>
                          </a:ln>
                        </pic:spPr>
                      </pic:pic>
                    </a:graphicData>
                  </a:graphic>
                </wp:inline>
              </w:drawing>
            </w:r>
            <w:r>
              <w:br/>
            </w:r>
            <w:r>
              <w:rPr>
                <w:sz w:val="16"/>
              </w:rPr>
              <w:t xml:space="preserve">Fuente de la imagen: Würth Elektronik </w:t>
            </w:r>
          </w:p>
          <w:p w14:paraId="077D1A93" w14:textId="77777777" w:rsidR="00281D41" w:rsidRDefault="00DD02EE">
            <w:pPr>
              <w:autoSpaceDE w:val="0"/>
              <w:autoSpaceDN w:val="0"/>
              <w:adjustRightInd w:val="0"/>
              <w:rPr>
                <w:rFonts w:ascii="Arial" w:hAnsi="Arial" w:cs="Arial"/>
                <w:b/>
                <w:sz w:val="18"/>
                <w:szCs w:val="18"/>
              </w:rPr>
            </w:pPr>
            <w:r>
              <w:rPr>
                <w:rFonts w:ascii="Arial" w:hAnsi="Arial"/>
                <w:b/>
                <w:sz w:val="18"/>
              </w:rPr>
              <w:t>Nueva edición revisada: «Trilogy of Wireless Power Transfer» de Würth Elektronik</w:t>
            </w:r>
          </w:p>
          <w:p w14:paraId="077D1A94" w14:textId="77777777" w:rsidR="00281D41" w:rsidRDefault="00281D41">
            <w:pPr>
              <w:autoSpaceDE w:val="0"/>
              <w:autoSpaceDN w:val="0"/>
              <w:adjustRightInd w:val="0"/>
              <w:rPr>
                <w:rFonts w:ascii="Arial" w:hAnsi="Arial" w:cs="Arial"/>
                <w:b/>
                <w:bCs/>
                <w:sz w:val="18"/>
                <w:szCs w:val="18"/>
              </w:rPr>
            </w:pPr>
          </w:p>
        </w:tc>
        <w:tc>
          <w:tcPr>
            <w:tcW w:w="3261" w:type="dxa"/>
          </w:tcPr>
          <w:p w14:paraId="077D1A95" w14:textId="591D87FE" w:rsidR="00281D41" w:rsidRDefault="00DD02EE">
            <w:pPr>
              <w:pStyle w:val="txt"/>
              <w:rPr>
                <w:bCs/>
                <w:sz w:val="16"/>
                <w:szCs w:val="16"/>
              </w:rPr>
            </w:pPr>
            <w:r>
              <w:rPr>
                <w:b/>
              </w:rPr>
              <w:br/>
            </w:r>
            <w:r>
              <w:rPr>
                <w:noProof/>
                <w:lang w:eastAsia="zh-TW"/>
              </w:rPr>
              <w:drawing>
                <wp:inline distT="0" distB="0" distL="0" distR="0" wp14:anchorId="077D1A9B" wp14:editId="077D1A9C">
                  <wp:extent cx="1917700" cy="155003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1550035"/>
                          </a:xfrm>
                          <a:prstGeom prst="rect">
                            <a:avLst/>
                          </a:prstGeom>
                          <a:noFill/>
                          <a:ln>
                            <a:noFill/>
                          </a:ln>
                        </pic:spPr>
                      </pic:pic>
                    </a:graphicData>
                  </a:graphic>
                </wp:inline>
              </w:drawing>
            </w:r>
            <w:r>
              <w:br/>
            </w:r>
            <w:r>
              <w:rPr>
                <w:sz w:val="16"/>
              </w:rPr>
              <w:t>Fuente de la imagen: Würth Elektronik</w:t>
            </w:r>
          </w:p>
          <w:p w14:paraId="39C28376" w14:textId="77777777" w:rsidR="00281D41" w:rsidRDefault="00DD02EE">
            <w:pPr>
              <w:autoSpaceDE w:val="0"/>
              <w:autoSpaceDN w:val="0"/>
              <w:adjustRightInd w:val="0"/>
              <w:rPr>
                <w:rFonts w:ascii="Arial" w:hAnsi="Arial"/>
                <w:b/>
                <w:sz w:val="18"/>
              </w:rPr>
            </w:pPr>
            <w:r>
              <w:rPr>
                <w:rFonts w:ascii="Arial" w:hAnsi="Arial"/>
                <w:b/>
                <w:sz w:val="18"/>
              </w:rPr>
              <w:t xml:space="preserve">Libro especializado «Trilogy of Wireless Power </w:t>
            </w:r>
            <w:r>
              <w:rPr>
                <w:rFonts w:ascii="Arial" w:hAnsi="Arial"/>
                <w:b/>
                <w:sz w:val="18"/>
              </w:rPr>
              <w:t>Transfer»: conocimientos especializados en materia de transmisión inalámbrica de energía</w:t>
            </w:r>
          </w:p>
          <w:p w14:paraId="077D1A96" w14:textId="77777777" w:rsidR="00FD106A" w:rsidRDefault="00FD106A">
            <w:pPr>
              <w:autoSpaceDE w:val="0"/>
              <w:autoSpaceDN w:val="0"/>
              <w:adjustRightInd w:val="0"/>
              <w:rPr>
                <w:b/>
              </w:rPr>
            </w:pPr>
          </w:p>
        </w:tc>
      </w:tr>
    </w:tbl>
    <w:p w14:paraId="76FB381A" w14:textId="77777777" w:rsidR="00E81540" w:rsidRDefault="00E81540" w:rsidP="00E81540">
      <w:pPr>
        <w:pStyle w:val="Textkrper"/>
        <w:spacing w:before="120" w:after="120" w:line="260" w:lineRule="exact"/>
        <w:jc w:val="both"/>
        <w:rPr>
          <w:rFonts w:ascii="Arial" w:hAnsi="Arial"/>
          <w:b w:val="0"/>
          <w:bCs w:val="0"/>
        </w:rPr>
      </w:pPr>
    </w:p>
    <w:p w14:paraId="09348A90" w14:textId="77777777" w:rsidR="00DD02EE" w:rsidRPr="00735520" w:rsidRDefault="00DD02EE" w:rsidP="00E81540">
      <w:pPr>
        <w:pStyle w:val="Textkrper"/>
        <w:spacing w:before="120" w:after="120" w:line="260" w:lineRule="exact"/>
        <w:jc w:val="both"/>
        <w:rPr>
          <w:rFonts w:ascii="Arial" w:hAnsi="Arial"/>
          <w:b w:val="0"/>
          <w:bCs w:val="0"/>
        </w:rPr>
      </w:pPr>
    </w:p>
    <w:p w14:paraId="1EA42227" w14:textId="77777777" w:rsidR="00E81540" w:rsidRPr="00735520" w:rsidRDefault="00E81540" w:rsidP="00E81540">
      <w:pPr>
        <w:pStyle w:val="PITextkrper"/>
        <w:pBdr>
          <w:top w:val="single" w:sz="4" w:space="1" w:color="auto"/>
        </w:pBdr>
        <w:spacing w:before="240"/>
        <w:rPr>
          <w:b/>
          <w:sz w:val="18"/>
          <w:szCs w:val="18"/>
        </w:rPr>
      </w:pPr>
    </w:p>
    <w:p w14:paraId="19BEEA71" w14:textId="77777777" w:rsidR="00E81540" w:rsidRPr="00735520" w:rsidRDefault="00E81540" w:rsidP="00E81540">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4C34B456" w14:textId="77777777" w:rsidR="00E81540" w:rsidRPr="00735520" w:rsidRDefault="00E81540" w:rsidP="00E81540">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CF7256E" w14:textId="77777777" w:rsidR="00E81540" w:rsidRPr="00735520" w:rsidRDefault="00E81540" w:rsidP="00E81540">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5063ACCD" w14:textId="77777777" w:rsidR="00E81540" w:rsidRPr="00735520" w:rsidRDefault="00E81540" w:rsidP="00E81540">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AE90506" w14:textId="77777777" w:rsidR="00E81540" w:rsidRPr="00735520" w:rsidRDefault="00E81540" w:rsidP="00E81540">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87274C5" w14:textId="77777777" w:rsidR="00E81540" w:rsidRPr="00163BBC" w:rsidRDefault="00E81540" w:rsidP="00E81540">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59F68F3E" w14:textId="77777777" w:rsidR="00E81540" w:rsidRPr="00735520" w:rsidRDefault="00E81540" w:rsidP="00E81540">
      <w:pPr>
        <w:pStyle w:val="Textkrper"/>
        <w:spacing w:before="120" w:after="120" w:line="276" w:lineRule="auto"/>
        <w:rPr>
          <w:rFonts w:ascii="Arial" w:hAnsi="Arial"/>
        </w:rPr>
      </w:pPr>
      <w:r w:rsidRPr="00735520">
        <w:rPr>
          <w:rFonts w:ascii="Arial" w:hAnsi="Arial"/>
        </w:rPr>
        <w:t>Más información en www.we-online.com</w:t>
      </w:r>
    </w:p>
    <w:p w14:paraId="62E22A18" w14:textId="77777777" w:rsidR="00E81540" w:rsidRPr="00735520" w:rsidRDefault="00E81540" w:rsidP="00E8154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81540" w:rsidRPr="00163BBC" w14:paraId="74CD63AD" w14:textId="77777777" w:rsidTr="00D44F66">
        <w:tc>
          <w:tcPr>
            <w:tcW w:w="3902" w:type="dxa"/>
            <w:hideMark/>
          </w:tcPr>
          <w:p w14:paraId="1975BC21" w14:textId="77777777" w:rsidR="00E81540" w:rsidRPr="00735520" w:rsidRDefault="00E81540" w:rsidP="00D44F66">
            <w:pPr>
              <w:pStyle w:val="Textkrper"/>
              <w:autoSpaceDE/>
              <w:adjustRightInd/>
              <w:spacing w:before="120" w:after="120" w:line="276" w:lineRule="auto"/>
              <w:rPr>
                <w:rFonts w:ascii="Arial" w:hAnsi="Arial"/>
                <w:bCs w:val="0"/>
                <w:szCs w:val="24"/>
              </w:rPr>
            </w:pPr>
            <w:r w:rsidRPr="00735520">
              <w:rPr>
                <w:b w:val="0"/>
                <w:bCs w:val="0"/>
              </w:rPr>
              <w:lastRenderedPageBreak/>
              <w:br w:type="page"/>
            </w:r>
            <w:r w:rsidRPr="00735520">
              <w:rPr>
                <w:rFonts w:ascii="Arial" w:hAnsi="Arial"/>
              </w:rPr>
              <w:t>Más información:</w:t>
            </w:r>
          </w:p>
          <w:p w14:paraId="54BEF68F" w14:textId="77777777" w:rsidR="00E81540" w:rsidRPr="00735520" w:rsidRDefault="00E81540" w:rsidP="00D44F66">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D05AB1C" w14:textId="77777777" w:rsidR="00E81540" w:rsidRPr="00735520" w:rsidRDefault="00E81540" w:rsidP="00D44F66">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1D821EE0" w14:textId="77777777" w:rsidR="00E81540" w:rsidRPr="00735520" w:rsidRDefault="00E81540" w:rsidP="00D44F66">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3E738B7" w14:textId="77777777" w:rsidR="00E81540" w:rsidRPr="00735520" w:rsidRDefault="00E81540" w:rsidP="00D44F66">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87786F0" w14:textId="77777777" w:rsidR="00E81540" w:rsidRPr="00735520" w:rsidRDefault="00E81540" w:rsidP="00D44F66">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C80A9D0" w14:textId="77777777" w:rsidR="00E81540" w:rsidRPr="00735520" w:rsidRDefault="00E81540" w:rsidP="00D44F66">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0EFF5786" w14:textId="77777777" w:rsidR="00E81540" w:rsidRPr="00735520" w:rsidRDefault="00E81540" w:rsidP="00D44F66">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077D1A98" w14:textId="77777777" w:rsidR="00281D41" w:rsidRDefault="00281D41">
      <w:pPr>
        <w:pStyle w:val="PITextkrper"/>
        <w:rPr>
          <w:b/>
          <w:bCs/>
          <w:sz w:val="18"/>
          <w:szCs w:val="18"/>
        </w:rPr>
      </w:pPr>
    </w:p>
    <w:sectPr w:rsidR="00281D4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AC7DC" w14:textId="77777777" w:rsidR="002565DE" w:rsidRDefault="002565DE">
      <w:r>
        <w:separator/>
      </w:r>
    </w:p>
  </w:endnote>
  <w:endnote w:type="continuationSeparator" w:id="0">
    <w:p w14:paraId="25EECBB9" w14:textId="77777777" w:rsidR="002565DE" w:rsidRDefault="0025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1AA2" w14:textId="6642C313" w:rsidR="00281D41" w:rsidRDefault="00DD02EE">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GB"/>
      </w:rPr>
      <w:t>WTH1PI1455</w:t>
    </w:r>
    <w:r>
      <w:rPr>
        <w:rFonts w:ascii="Arial" w:hAnsi="Arial" w:cs="Arial"/>
        <w:snapToGrid w:val="0"/>
        <w:sz w:val="16"/>
      </w:rPr>
      <w:fldChar w:fldCharType="end"/>
    </w:r>
    <w:r w:rsidR="00187D2D">
      <w:rPr>
        <w:rFonts w:ascii="Arial" w:hAnsi="Arial" w:cs="Arial"/>
        <w:snapToGrid w:val="0"/>
        <w:sz w:val="16"/>
      </w:rPr>
      <w:t>_es</w:t>
    </w:r>
    <w:r>
      <w:rPr>
        <w:rFonts w:ascii="Arial" w:hAnsi="Arial" w:cs="Arial"/>
        <w:snapToGrid w:val="0"/>
        <w:sz w:val="16"/>
      </w:rPr>
      <w:t>.docx</w:t>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8CCAE" w14:textId="77777777" w:rsidR="002565DE" w:rsidRDefault="002565DE">
      <w:r>
        <w:separator/>
      </w:r>
    </w:p>
  </w:footnote>
  <w:footnote w:type="continuationSeparator" w:id="0">
    <w:p w14:paraId="3CAA37F4" w14:textId="77777777" w:rsidR="002565DE" w:rsidRDefault="0025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1AA1" w14:textId="77777777" w:rsidR="00281D41" w:rsidRDefault="00DD02EE">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77D1AA3" wp14:editId="077D1AA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605031">
    <w:abstractNumId w:val="4"/>
  </w:num>
  <w:num w:numId="2" w16cid:durableId="1488979704">
    <w:abstractNumId w:val="1"/>
  </w:num>
  <w:num w:numId="3" w16cid:durableId="1460609567">
    <w:abstractNumId w:val="2"/>
  </w:num>
  <w:num w:numId="4" w16cid:durableId="1517227359">
    <w:abstractNumId w:val="3"/>
  </w:num>
  <w:num w:numId="5" w16cid:durableId="856776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41"/>
    <w:rsid w:val="00187D2D"/>
    <w:rsid w:val="002565DE"/>
    <w:rsid w:val="00281D41"/>
    <w:rsid w:val="002E16AC"/>
    <w:rsid w:val="00691735"/>
    <w:rsid w:val="0099028A"/>
    <w:rsid w:val="00AE58C3"/>
    <w:rsid w:val="00B73907"/>
    <w:rsid w:val="00BC3012"/>
    <w:rsid w:val="00DD02EE"/>
    <w:rsid w:val="00E81540"/>
    <w:rsid w:val="00F01D3E"/>
    <w:rsid w:val="00FD10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D1A8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KopfzeileZchn">
    <w:name w:val="Kopfzeile Zchn"/>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619923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941057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3260768">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FA3FE-74DC-4C03-ADA8-B89E7BB4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3772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20</cp:revision>
  <cp:lastPrinted>2017-06-23T08:32:00Z</cp:lastPrinted>
  <dcterms:created xsi:type="dcterms:W3CDTF">2024-04-19T08:41:00Z</dcterms:created>
  <dcterms:modified xsi:type="dcterms:W3CDTF">2024-06-12T07:12:00Z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