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7FBE54" w14:textId="77777777" w:rsidR="00F2603E" w:rsidRDefault="00DF42B3">
      <w:pPr>
        <w:pStyle w:val="berschrift1"/>
        <w:spacing w:before="720" w:after="720" w:line="260" w:lineRule="exact"/>
        <w:rPr>
          <w:sz w:val="20"/>
        </w:rPr>
      </w:pPr>
      <w:r>
        <w:rPr>
          <w:sz w:val="20"/>
        </w:rPr>
        <w:t>COMUNICADO DE PRENSA</w:t>
      </w:r>
    </w:p>
    <w:p w14:paraId="10B55431" w14:textId="77777777" w:rsidR="00F2603E" w:rsidRDefault="00DF42B3">
      <w:pPr>
        <w:pStyle w:val="Kopfzeile"/>
        <w:tabs>
          <w:tab w:val="clear" w:pos="4536"/>
          <w:tab w:val="clear" w:pos="9072"/>
        </w:tabs>
        <w:spacing w:before="120" w:after="120" w:line="360" w:lineRule="exact"/>
        <w:outlineLvl w:val="0"/>
        <w:rPr>
          <w:rFonts w:ascii="Arial" w:hAnsi="Arial" w:cs="Arial"/>
          <w:b/>
          <w:bCs/>
        </w:rPr>
      </w:pPr>
      <w:r>
        <w:rPr>
          <w:rFonts w:ascii="Arial" w:hAnsi="Arial"/>
          <w:b/>
        </w:rPr>
        <w:t>Würth Elektronik amplía su gama de inductores de potencia de alta corriente</w:t>
      </w:r>
    </w:p>
    <w:p w14:paraId="176B8DB5" w14:textId="32DA5147" w:rsidR="00F2603E" w:rsidRDefault="00DF42B3">
      <w:pPr>
        <w:pStyle w:val="Kopfzeile"/>
        <w:tabs>
          <w:tab w:val="clear" w:pos="4536"/>
          <w:tab w:val="clear" w:pos="9072"/>
        </w:tabs>
        <w:spacing w:before="360" w:after="360"/>
        <w:rPr>
          <w:rFonts w:ascii="Arial" w:hAnsi="Arial" w:cs="Arial"/>
          <w:b/>
          <w:bCs/>
          <w:color w:val="000000"/>
          <w:sz w:val="36"/>
        </w:rPr>
      </w:pPr>
      <w:r>
        <w:rPr>
          <w:rFonts w:ascii="Arial" w:hAnsi="Arial"/>
          <w:b/>
          <w:color w:val="000000"/>
          <w:sz w:val="36"/>
        </w:rPr>
        <w:t>Ocho nuevos encapsulados en la serie de inductores altamente eficientes</w:t>
      </w:r>
    </w:p>
    <w:p w14:paraId="14280B2F" w14:textId="57894ACD" w:rsidR="00F2603E" w:rsidRDefault="00DF42B3">
      <w:pPr>
        <w:pStyle w:val="Textkrper"/>
        <w:spacing w:before="120" w:after="120" w:line="260" w:lineRule="exact"/>
        <w:jc w:val="both"/>
        <w:rPr>
          <w:rFonts w:ascii="Arial" w:hAnsi="Arial"/>
          <w:color w:val="000000"/>
        </w:rPr>
      </w:pPr>
      <w:r>
        <w:rPr>
          <w:rFonts w:ascii="Arial" w:hAnsi="Arial"/>
          <w:color w:val="000000"/>
        </w:rPr>
        <w:t xml:space="preserve">Waldenburg (Alemania), 28 de mayo de 2024 – A los cinco tamaños ya existentes de </w:t>
      </w:r>
      <w:r w:rsidR="00605C24">
        <w:fldChar w:fldCharType="begin"/>
      </w:r>
      <w:r w:rsidR="00605C24">
        <w:instrText>HYPERLINK "https://www.we-online.com/en/components/products/WE-XHMI"</w:instrText>
      </w:r>
      <w:r w:rsidR="00605C24">
        <w:fldChar w:fldCharType="separate"/>
      </w:r>
      <w:r>
        <w:rPr>
          <w:rStyle w:val="Hyperlink"/>
          <w:rFonts w:ascii="Arial" w:hAnsi="Arial"/>
        </w:rPr>
        <w:t>inductores de potencia en montaje SMD WE-XHMI</w:t>
      </w:r>
      <w:r w:rsidR="00605C24">
        <w:rPr>
          <w:rStyle w:val="Hyperlink"/>
          <w:rFonts w:ascii="Arial" w:hAnsi="Arial"/>
        </w:rPr>
        <w:fldChar w:fldCharType="end"/>
      </w:r>
      <w:r>
        <w:rPr>
          <w:rFonts w:ascii="Arial" w:hAnsi="Arial"/>
          <w:color w:val="000000"/>
        </w:rPr>
        <w:t xml:space="preserve"> de Würth Elektronik se unen ahora ocho más. Estos inductores compactos, pero altamente eficientes, se caracterizan por su elevada intensidad de corriente de hasta 56 A de corriente de saturación, y su capacidad para hacer frente a picos elevados de transitorios de corriente. Esto los convierte en especialmente adecuados para su uso en convertidores DC/DC, puntos de carga y filtros de alta corriente, así como para su uso en ordenadores industriales, placas base y tarjetas gráficas.</w:t>
      </w:r>
    </w:p>
    <w:p w14:paraId="5F41C6EA" w14:textId="71CB346E" w:rsidR="00F2603E" w:rsidRDefault="00DF42B3">
      <w:pPr>
        <w:pStyle w:val="Textkrper"/>
        <w:spacing w:before="120" w:after="120" w:line="260" w:lineRule="exact"/>
        <w:jc w:val="both"/>
        <w:rPr>
          <w:rFonts w:ascii="Arial" w:hAnsi="Arial"/>
          <w:b w:val="0"/>
          <w:bCs w:val="0"/>
          <w:color w:val="000000"/>
        </w:rPr>
      </w:pPr>
      <w:r>
        <w:rPr>
          <w:rFonts w:ascii="Arial" w:hAnsi="Arial"/>
          <w:b w:val="0"/>
          <w:color w:val="000000"/>
        </w:rPr>
        <w:t xml:space="preserve">El único inductor de hilo plano moldeado en el segmento de inductores de potencia está ahora disponible en los encapsulados </w:t>
      </w:r>
      <w:r>
        <w:rPr>
          <w:rFonts w:ascii="Arial" w:hAnsi="Arial"/>
          <w:b w:val="0"/>
        </w:rPr>
        <w:t>4020, 4030, 4040, 5020, 5030, 5050, 7030 y 7070</w:t>
      </w:r>
      <w:r>
        <w:rPr>
          <w:rFonts w:ascii="Arial" w:hAnsi="Arial"/>
          <w:b w:val="0"/>
          <w:color w:val="000000"/>
        </w:rPr>
        <w:t>. Esto significa que la serie ahora también está disponible en tamaños más pequeños y con los tamaños 70xx se cubre un vacío en el catálogo actual. Los nuevos encapsulados implican una optimización del proceso de producción y el resultado es una mejora evidente de las características eléctricas R</w:t>
      </w:r>
      <w:r>
        <w:rPr>
          <w:rFonts w:ascii="Arial" w:hAnsi="Arial"/>
          <w:b w:val="0"/>
          <w:color w:val="000000"/>
          <w:vertAlign w:val="subscript"/>
        </w:rPr>
        <w:t>DC</w:t>
      </w:r>
      <w:r>
        <w:rPr>
          <w:rFonts w:ascii="Arial" w:hAnsi="Arial"/>
          <w:b w:val="0"/>
          <w:color w:val="000000"/>
        </w:rPr>
        <w:t>, I</w:t>
      </w:r>
      <w:r>
        <w:rPr>
          <w:rFonts w:ascii="Arial" w:hAnsi="Arial"/>
          <w:b w:val="0"/>
          <w:color w:val="000000"/>
          <w:vertAlign w:val="subscript"/>
        </w:rPr>
        <w:t>sat</w:t>
      </w:r>
      <w:r>
        <w:rPr>
          <w:rFonts w:ascii="Arial" w:hAnsi="Arial"/>
          <w:b w:val="0"/>
          <w:color w:val="000000"/>
        </w:rPr>
        <w:t xml:space="preserve"> e I</w:t>
      </w:r>
      <w:r>
        <w:rPr>
          <w:rFonts w:ascii="Arial" w:hAnsi="Arial"/>
          <w:b w:val="0"/>
          <w:color w:val="000000"/>
          <w:vertAlign w:val="subscript"/>
        </w:rPr>
        <w:t>r</w:t>
      </w:r>
      <w:r>
        <w:rPr>
          <w:rFonts w:ascii="Arial" w:hAnsi="Arial"/>
          <w:b w:val="0"/>
          <w:color w:val="000000"/>
        </w:rPr>
        <w:t>.</w:t>
      </w:r>
    </w:p>
    <w:p w14:paraId="7978EBBA" w14:textId="77777777" w:rsidR="00F2603E" w:rsidRDefault="00DF42B3">
      <w:pPr>
        <w:pStyle w:val="Textkrper"/>
        <w:spacing w:before="120" w:after="120" w:line="260" w:lineRule="exact"/>
        <w:jc w:val="both"/>
        <w:rPr>
          <w:rFonts w:ascii="Arial" w:hAnsi="Arial"/>
          <w:b w:val="0"/>
          <w:bCs w:val="0"/>
          <w:color w:val="000000"/>
        </w:rPr>
      </w:pPr>
      <w:r>
        <w:rPr>
          <w:rFonts w:ascii="Arial" w:hAnsi="Arial"/>
          <w:b w:val="0"/>
          <w:color w:val="000000"/>
        </w:rPr>
        <w:t>La serie WE-XHMI, con homologación AEC-Q200, puede utilizarse a temperaturas de funcionamiento de -40 °C a +125 °C y cubre una gama de inductancias de 0,15 a 33 µH con corrientes máximas de 56 A.</w:t>
      </w:r>
    </w:p>
    <w:p w14:paraId="2EF82DEA" w14:textId="77777777" w:rsidR="00F2603E" w:rsidRDefault="00DF42B3">
      <w:pPr>
        <w:pStyle w:val="Textkrper"/>
        <w:spacing w:before="120" w:after="120" w:line="260" w:lineRule="exact"/>
        <w:jc w:val="both"/>
        <w:rPr>
          <w:rFonts w:ascii="Arial" w:hAnsi="Arial"/>
          <w:color w:val="000000"/>
        </w:rPr>
      </w:pPr>
      <w:r>
        <w:rPr>
          <w:rFonts w:ascii="Arial" w:hAnsi="Arial"/>
          <w:color w:val="000000"/>
        </w:rPr>
        <w:t>Ventajas de las bobinas de hilo de cobre plano</w:t>
      </w:r>
    </w:p>
    <w:p w14:paraId="020640DB" w14:textId="47EF80E5" w:rsidR="00F2603E" w:rsidRDefault="00DF42B3">
      <w:pPr>
        <w:pStyle w:val="Textkrper"/>
        <w:spacing w:before="120" w:after="120" w:line="260" w:lineRule="exact"/>
        <w:jc w:val="both"/>
        <w:rPr>
          <w:rFonts w:ascii="Arial" w:hAnsi="Arial"/>
          <w:b w:val="0"/>
          <w:bCs w:val="0"/>
          <w:color w:val="000000"/>
        </w:rPr>
      </w:pPr>
      <w:r>
        <w:rPr>
          <w:rFonts w:ascii="Arial" w:hAnsi="Arial"/>
          <w:b w:val="0"/>
          <w:color w:val="000000"/>
        </w:rPr>
        <w:t xml:space="preserve">El uso del inductor de hilo plano WE-XHMI contribuye a una mejora de la eficiencia y la eficacia gracias a una resistencia muy baja del bobinado. Su diseño como inductor de hilo plano y una composición adecuada del material del núcleo garantiza bajas pérdidas en conducción y una estabilidad en temperatura. Además, el uso de hilo plano conlleva una reducción del efecto pelicular, ya que presenta una mayor superficie con la misma sección. </w:t>
      </w:r>
    </w:p>
    <w:p w14:paraId="44F2B2AD" w14:textId="77777777" w:rsidR="00F2603E" w:rsidRDefault="00DF42B3">
      <w:pPr>
        <w:pStyle w:val="Textkrper"/>
        <w:spacing w:before="120" w:after="120" w:line="260" w:lineRule="exact"/>
        <w:jc w:val="both"/>
        <w:rPr>
          <w:rFonts w:ascii="Arial" w:hAnsi="Arial"/>
          <w:b w:val="0"/>
          <w:bCs w:val="0"/>
        </w:rPr>
      </w:pPr>
      <w:r>
        <w:rPr>
          <w:rFonts w:ascii="Arial" w:hAnsi="Arial"/>
          <w:b w:val="0"/>
        </w:rPr>
        <w:t>Todos los encapsulados de los inductores en montaje SMD ya están disponibles en stock sin cantidad mínima de pedido. Disponemos de muestras gratuitas para diseñadores.</w:t>
      </w:r>
    </w:p>
    <w:p w14:paraId="2DBD7BA1" w14:textId="77777777" w:rsidR="00F2603E" w:rsidRDefault="00F2603E">
      <w:pPr>
        <w:pStyle w:val="Textkrper"/>
        <w:spacing w:before="120" w:after="120" w:line="260" w:lineRule="exact"/>
        <w:jc w:val="both"/>
        <w:rPr>
          <w:rFonts w:ascii="Arial" w:hAnsi="Arial"/>
          <w:color w:val="000000"/>
        </w:rPr>
      </w:pPr>
    </w:p>
    <w:p w14:paraId="593CA5BB" w14:textId="77777777" w:rsidR="00F2603E" w:rsidRDefault="00DF42B3">
      <w:pPr>
        <w:rPr>
          <w:rFonts w:ascii="Arial" w:hAnsi="Arial" w:cs="Arial"/>
          <w:sz w:val="20"/>
          <w:szCs w:val="20"/>
        </w:rPr>
      </w:pPr>
      <w:r>
        <w:br w:type="page"/>
      </w:r>
    </w:p>
    <w:p w14:paraId="06AED366" w14:textId="77777777" w:rsidR="00F2603E" w:rsidRDefault="00F2603E">
      <w:pPr>
        <w:pStyle w:val="Textkrper"/>
        <w:spacing w:before="120" w:after="120" w:line="260" w:lineRule="exact"/>
        <w:jc w:val="both"/>
        <w:rPr>
          <w:rFonts w:ascii="Arial" w:hAnsi="Arial"/>
          <w:b w:val="0"/>
          <w:bCs w:val="0"/>
        </w:rPr>
      </w:pPr>
    </w:p>
    <w:p w14:paraId="7BF0A912" w14:textId="77777777" w:rsidR="00F2603E" w:rsidRPr="00062F16" w:rsidRDefault="00F2603E">
      <w:pPr>
        <w:pStyle w:val="PITextkrper"/>
        <w:pBdr>
          <w:top w:val="single" w:sz="4" w:space="1" w:color="auto"/>
        </w:pBdr>
        <w:spacing w:before="240"/>
        <w:rPr>
          <w:b/>
          <w:sz w:val="18"/>
          <w:szCs w:val="18"/>
        </w:rPr>
      </w:pPr>
    </w:p>
    <w:p w14:paraId="5A932082" w14:textId="77777777" w:rsidR="00F2603E" w:rsidRDefault="00DF42B3">
      <w:pPr>
        <w:spacing w:after="120" w:line="280" w:lineRule="exact"/>
        <w:rPr>
          <w:rFonts w:ascii="Arial" w:hAnsi="Arial" w:cs="Arial"/>
          <w:b/>
          <w:bCs/>
          <w:sz w:val="18"/>
          <w:szCs w:val="18"/>
        </w:rPr>
      </w:pPr>
      <w:r>
        <w:rPr>
          <w:rFonts w:ascii="Arial" w:hAnsi="Arial"/>
          <w:b/>
          <w:sz w:val="18"/>
        </w:rPr>
        <w:t>Imágenes disponibles</w:t>
      </w:r>
    </w:p>
    <w:p w14:paraId="5952F690" w14:textId="77777777" w:rsidR="00F2603E" w:rsidRDefault="00DF42B3">
      <w:pPr>
        <w:spacing w:after="120" w:line="280" w:lineRule="exact"/>
        <w:rPr>
          <w:rStyle w:val="Hyperlink"/>
        </w:rPr>
      </w:pPr>
      <w:r>
        <w:rPr>
          <w:rFonts w:ascii="Arial" w:hAnsi="Arial"/>
          <w:sz w:val="18"/>
        </w:rPr>
        <w:t>Las siguientes imágenes se encuentran disponibles para impresión y descarga en:</w:t>
      </w:r>
      <w:r>
        <w:t xml:space="preserve"> </w:t>
      </w:r>
      <w:hyperlink r:id="rId8" w:history="1">
        <w:r>
          <w:rPr>
            <w:rStyle w:val="Hyperlink"/>
            <w:rFonts w:ascii="Arial" w:hAnsi="Arial" w:cs="Arial"/>
            <w:sz w:val="18"/>
            <w:szCs w:val="18"/>
          </w:rPr>
          <w:t>https://kk.htcm.de/press-releases/wuerth/</w:t>
        </w:r>
      </w:hyperlink>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F2603E" w14:paraId="34D90BF5" w14:textId="77777777">
        <w:trPr>
          <w:trHeight w:val="1701"/>
        </w:trPr>
        <w:tc>
          <w:tcPr>
            <w:tcW w:w="3510" w:type="dxa"/>
          </w:tcPr>
          <w:p w14:paraId="36781AF1" w14:textId="77777777" w:rsidR="00E43811" w:rsidRDefault="00335A8C" w:rsidP="00E43811">
            <w:pPr>
              <w:pStyle w:val="txt"/>
              <w:jc w:val="center"/>
              <w:rPr>
                <w:sz w:val="16"/>
              </w:rPr>
            </w:pPr>
            <w:r>
              <w:rPr>
                <w:sz w:val="16"/>
              </w:rPr>
              <w:br/>
            </w:r>
            <w:r w:rsidR="00E43811">
              <w:rPr>
                <w:noProof/>
              </w:rPr>
              <w:drawing>
                <wp:inline distT="0" distB="0" distL="0" distR="0" wp14:anchorId="01863E75" wp14:editId="1616D145">
                  <wp:extent cx="2040890" cy="1724025"/>
                  <wp:effectExtent l="0" t="0" r="0" b="9525"/>
                  <wp:docPr id="355427099"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5427099" name="Bild 1"/>
                          <pic:cNvPicPr>
                            <a:picLocks noChangeAspect="1"/>
                          </pic:cNvPicPr>
                        </pic:nvPicPr>
                        <pic:blipFill rotWithShape="1">
                          <a:blip r:embed="rId9">
                            <a:extLst>
                              <a:ext uri="{28A0092B-C50C-407E-A947-70E740481C1C}">
                                <a14:useLocalDpi xmlns:a14="http://schemas.microsoft.com/office/drawing/2010/main" val="0"/>
                              </a:ext>
                            </a:extLst>
                          </a:blip>
                          <a:srcRect t="4782" b="10763"/>
                          <a:stretch/>
                        </pic:blipFill>
                        <pic:spPr bwMode="auto">
                          <a:xfrm>
                            <a:off x="0" y="0"/>
                            <a:ext cx="2040890" cy="1724025"/>
                          </a:xfrm>
                          <a:prstGeom prst="rect">
                            <a:avLst/>
                          </a:prstGeom>
                          <a:noFill/>
                          <a:ln>
                            <a:noFill/>
                          </a:ln>
                          <a:extLst>
                            <a:ext uri="{53640926-AAD7-44D8-BBD7-CCE9431645EC}">
                              <a14:shadowObscured xmlns:a14="http://schemas.microsoft.com/office/drawing/2010/main"/>
                            </a:ext>
                          </a:extLst>
                        </pic:spPr>
                      </pic:pic>
                    </a:graphicData>
                  </a:graphic>
                </wp:inline>
              </w:drawing>
            </w:r>
          </w:p>
          <w:p w14:paraId="0113CA0A" w14:textId="1B9B78DB" w:rsidR="00F2603E" w:rsidRDefault="00DF42B3">
            <w:pPr>
              <w:pStyle w:val="txt"/>
              <w:rPr>
                <w:b/>
                <w:bCs/>
                <w:sz w:val="18"/>
              </w:rPr>
            </w:pPr>
            <w:r>
              <w:rPr>
                <w:sz w:val="16"/>
              </w:rPr>
              <w:t xml:space="preserve">Fuente de la imagen: Würth Elektronik </w:t>
            </w:r>
          </w:p>
          <w:p w14:paraId="6F3A90FC" w14:textId="77777777" w:rsidR="00F2603E" w:rsidRDefault="00DF42B3">
            <w:pPr>
              <w:autoSpaceDE w:val="0"/>
              <w:autoSpaceDN w:val="0"/>
              <w:adjustRightInd w:val="0"/>
              <w:rPr>
                <w:rFonts w:ascii="Arial" w:hAnsi="Arial" w:cs="Arial"/>
                <w:b/>
                <w:bCs/>
                <w:sz w:val="18"/>
                <w:szCs w:val="18"/>
              </w:rPr>
            </w:pPr>
            <w:r>
              <w:rPr>
                <w:rFonts w:ascii="Arial" w:hAnsi="Arial"/>
                <w:b/>
                <w:sz w:val="18"/>
              </w:rPr>
              <w:t>La serie de inductores de potencia de alta corriente WE-XHMI de Würth Elektronik se ha ampliado con nuevos encapsulados.</w:t>
            </w:r>
            <w:r>
              <w:rPr>
                <w:rFonts w:ascii="Arial" w:hAnsi="Arial"/>
                <w:b/>
                <w:sz w:val="18"/>
              </w:rPr>
              <w:br/>
            </w:r>
          </w:p>
        </w:tc>
      </w:tr>
    </w:tbl>
    <w:p w14:paraId="05AC977D" w14:textId="77777777" w:rsidR="00F2603E" w:rsidRDefault="00F2603E">
      <w:pPr>
        <w:pStyle w:val="PITextkrper"/>
        <w:rPr>
          <w:b/>
          <w:bCs/>
          <w:sz w:val="18"/>
          <w:szCs w:val="18"/>
        </w:rPr>
      </w:pPr>
    </w:p>
    <w:p w14:paraId="256FB98B" w14:textId="77777777" w:rsidR="00062F16" w:rsidRDefault="00062F16">
      <w:pPr>
        <w:pStyle w:val="PITextkrper"/>
        <w:rPr>
          <w:b/>
          <w:bCs/>
          <w:sz w:val="18"/>
          <w:szCs w:val="18"/>
        </w:rPr>
      </w:pPr>
    </w:p>
    <w:p w14:paraId="26464337" w14:textId="77777777" w:rsidR="00062F16" w:rsidRDefault="00062F16" w:rsidP="00062F16">
      <w:pPr>
        <w:pStyle w:val="PITextkrper"/>
        <w:pBdr>
          <w:top w:val="single" w:sz="4" w:space="1" w:color="auto"/>
        </w:pBdr>
        <w:spacing w:before="240"/>
        <w:rPr>
          <w:b/>
          <w:sz w:val="18"/>
          <w:szCs w:val="18"/>
        </w:rPr>
      </w:pPr>
    </w:p>
    <w:p w14:paraId="708D5378" w14:textId="77777777" w:rsidR="00062F16" w:rsidRDefault="00062F16" w:rsidP="00062F16">
      <w:pPr>
        <w:pStyle w:val="Textkrper"/>
        <w:spacing w:before="120" w:after="120" w:line="276" w:lineRule="auto"/>
        <w:jc w:val="both"/>
        <w:rPr>
          <w:rFonts w:ascii="Arial" w:hAnsi="Arial"/>
        </w:rPr>
      </w:pPr>
      <w:bookmarkStart w:id="0" w:name="_Hlk529547556"/>
      <w:bookmarkStart w:id="1" w:name="_Hlk530469551"/>
      <w:r>
        <w:rPr>
          <w:rFonts w:ascii="Arial" w:hAnsi="Arial"/>
        </w:rPr>
        <w:t xml:space="preserve">Acerca del Grupo Würth Elektronik eiSos </w:t>
      </w:r>
    </w:p>
    <w:bookmarkEnd w:id="0"/>
    <w:p w14:paraId="78C80F29" w14:textId="77777777" w:rsidR="00062F16" w:rsidRDefault="00062F16" w:rsidP="00062F16">
      <w:pPr>
        <w:pStyle w:val="Textkrper"/>
        <w:spacing w:before="120" w:after="120" w:line="276" w:lineRule="auto"/>
        <w:jc w:val="both"/>
        <w:rPr>
          <w:rFonts w:ascii="Arial" w:hAnsi="Arial"/>
          <w:b w:val="0"/>
        </w:rPr>
      </w:pPr>
      <w:r>
        <w:rPr>
          <w:rFonts w:ascii="Arial" w:hAnsi="Arial"/>
          <w:b w:val="0"/>
        </w:rPr>
        <w:t>El Grupo Würth Elektronik eiSos es un fabricante de componentes electrónicos y electromecánicos para la industria electrónica, que aporta soluciones electrónicas innovadoras con su liderazgo tecnológico. Würth Elektronik eiSos es uno de los mayores fabricantes europeos de componentes pasivos y opera en 50 países. Sus plantas de producción en Europa, Asia y América del Norte suministran productos a un creciente número de clientes en todo el mundo.</w:t>
      </w:r>
    </w:p>
    <w:p w14:paraId="2DFA9FBE" w14:textId="77777777" w:rsidR="00062F16" w:rsidRDefault="00062F16" w:rsidP="00062F16">
      <w:pPr>
        <w:pStyle w:val="Textkrper"/>
        <w:spacing w:before="120" w:after="120" w:line="276" w:lineRule="auto"/>
        <w:jc w:val="both"/>
        <w:rPr>
          <w:rFonts w:ascii="Arial" w:hAnsi="Arial"/>
          <w:b w:val="0"/>
        </w:rPr>
      </w:pPr>
      <w:r>
        <w:rPr>
          <w:rFonts w:ascii="Arial" w:hAnsi="Arial"/>
          <w:b w:val="0"/>
          <w:bCs w:val="0"/>
        </w:rPr>
        <w:t xml:space="preserve">La gama de productos incluye componentes para EMC, inductores, transformadores, componentes de RF, varistores, condensadores, resistencias, cuarzos, osciladores, módulos de alimentación, transferencia de energia inalámbrica, LED‘s, sensores, módulos de radio, conectores, elementos para fuentes de alimentación, interruptores, pulsadores, elementos de montaje, portafusibles, así como soluciones para la comunicación inalámbrica de datos. </w:t>
      </w:r>
      <w:r>
        <w:rPr>
          <w:rFonts w:ascii="Arial" w:hAnsi="Arial"/>
          <w:b w:val="0"/>
        </w:rPr>
        <w:t>La gama se completa con soluciones personalizadas.</w:t>
      </w:r>
    </w:p>
    <w:p w14:paraId="02CEFBA4" w14:textId="77777777" w:rsidR="00062F16" w:rsidRDefault="00062F16" w:rsidP="00062F16">
      <w:pPr>
        <w:rPr>
          <w:rFonts w:ascii="Arial" w:hAnsi="Arial" w:cs="Arial"/>
          <w:bCs/>
          <w:sz w:val="20"/>
          <w:szCs w:val="20"/>
        </w:rPr>
      </w:pPr>
      <w:r>
        <w:rPr>
          <w:rFonts w:ascii="Arial" w:hAnsi="Arial"/>
          <w:b/>
        </w:rPr>
        <w:br w:type="page"/>
      </w:r>
    </w:p>
    <w:p w14:paraId="59987E38" w14:textId="77777777" w:rsidR="00062F16" w:rsidRDefault="00062F16" w:rsidP="00062F16">
      <w:pPr>
        <w:pStyle w:val="Textkrper"/>
        <w:spacing w:before="120" w:after="120" w:line="276" w:lineRule="auto"/>
        <w:jc w:val="both"/>
        <w:rPr>
          <w:b w:val="0"/>
          <w:bCs w:val="0"/>
        </w:rPr>
      </w:pPr>
    </w:p>
    <w:p w14:paraId="4A2F1AAA" w14:textId="77777777" w:rsidR="00062F16" w:rsidRDefault="00062F16" w:rsidP="00062F16">
      <w:pPr>
        <w:pStyle w:val="Textkrper"/>
        <w:spacing w:before="120" w:after="120" w:line="276" w:lineRule="auto"/>
        <w:jc w:val="both"/>
        <w:rPr>
          <w:rFonts w:ascii="Arial" w:hAnsi="Arial"/>
          <w:b w:val="0"/>
        </w:rPr>
      </w:pPr>
      <w:r>
        <w:rPr>
          <w:rFonts w:ascii="Arial" w:hAnsi="Arial"/>
          <w:b w:val="0"/>
        </w:rPr>
        <w:t xml:space="preserve">La clara vocación de servicio de la empresa se caracteriza por la disponibilidad de todos los componentes del catálogo en stock sin una cantidad mínima de pedido, muestras gratuitas, haciendo hincapié en el soporte técnico con las herramientas de selección proporcionado por el departamento técnico de ventas. </w:t>
      </w:r>
    </w:p>
    <w:p w14:paraId="0C1EC0F4" w14:textId="77777777" w:rsidR="00062F16" w:rsidRDefault="00062F16" w:rsidP="00062F16">
      <w:pPr>
        <w:pStyle w:val="PITextkrper"/>
        <w:rPr>
          <w:sz w:val="18"/>
          <w:szCs w:val="18"/>
        </w:rPr>
      </w:pPr>
      <w:r>
        <w:rPr>
          <w:bCs/>
          <w:sz w:val="20"/>
          <w:lang w:eastAsia="x-none"/>
        </w:rPr>
        <w:t>Würth Elektronik forma parte del Grupo Würth, líder del mercado mundial en el desarrollo, la fabricación y la distribución de materiales de montaje y fijación. La empresa emplea a 7.900 trabajadores. En el año 2023, el grupo Würth Elektronik generó una facturación de 1.240 millones de euros.</w:t>
      </w:r>
    </w:p>
    <w:p w14:paraId="12DD1846" w14:textId="77777777" w:rsidR="00062F16" w:rsidRDefault="00062F16" w:rsidP="00062F16">
      <w:pPr>
        <w:pStyle w:val="Textkrper"/>
        <w:spacing w:before="120" w:after="120" w:line="276" w:lineRule="auto"/>
        <w:rPr>
          <w:rFonts w:ascii="Arial" w:hAnsi="Arial"/>
          <w:b w:val="0"/>
          <w:lang w:val="en-US"/>
        </w:rPr>
      </w:pPr>
      <w:r>
        <w:rPr>
          <w:rFonts w:ascii="Arial" w:hAnsi="Arial"/>
          <w:b w:val="0"/>
          <w:lang w:val="en-US"/>
        </w:rPr>
        <w:t xml:space="preserve">Würth </w:t>
      </w:r>
      <w:proofErr w:type="spellStart"/>
      <w:r>
        <w:rPr>
          <w:rFonts w:ascii="Arial" w:hAnsi="Arial"/>
          <w:b w:val="0"/>
          <w:lang w:val="en-US"/>
        </w:rPr>
        <w:t>Elektronik</w:t>
      </w:r>
      <w:proofErr w:type="spellEnd"/>
      <w:r>
        <w:rPr>
          <w:rFonts w:ascii="Arial" w:hAnsi="Arial"/>
          <w:b w:val="0"/>
          <w:lang w:val="en-US"/>
        </w:rPr>
        <w:t>: more than you expect!</w:t>
      </w:r>
    </w:p>
    <w:p w14:paraId="46F901C8" w14:textId="77777777" w:rsidR="00062F16" w:rsidRDefault="00062F16" w:rsidP="00062F16">
      <w:pPr>
        <w:pStyle w:val="Textkrper"/>
        <w:spacing w:before="120" w:after="120" w:line="276" w:lineRule="auto"/>
        <w:rPr>
          <w:rFonts w:ascii="Arial" w:hAnsi="Arial"/>
        </w:rPr>
      </w:pPr>
      <w:r>
        <w:rPr>
          <w:rFonts w:ascii="Arial" w:hAnsi="Arial"/>
        </w:rPr>
        <w:t>Más información en www.we-online.com</w:t>
      </w:r>
    </w:p>
    <w:p w14:paraId="59C63304" w14:textId="77777777" w:rsidR="00062F16" w:rsidRDefault="00062F16" w:rsidP="00062F16">
      <w:pPr>
        <w:pStyle w:val="Textkrper"/>
        <w:spacing w:before="120" w:after="120" w:line="276" w:lineRule="auto"/>
      </w:pPr>
    </w:p>
    <w:tbl>
      <w:tblPr>
        <w:tblW w:w="0" w:type="dxa"/>
        <w:tblLayout w:type="fixed"/>
        <w:tblCellMar>
          <w:left w:w="0" w:type="dxa"/>
          <w:right w:w="0" w:type="dxa"/>
        </w:tblCellMar>
        <w:tblLook w:val="04A0" w:firstRow="1" w:lastRow="0" w:firstColumn="1" w:lastColumn="0" w:noHBand="0" w:noVBand="1"/>
      </w:tblPr>
      <w:tblGrid>
        <w:gridCol w:w="3902"/>
        <w:gridCol w:w="3193"/>
      </w:tblGrid>
      <w:tr w:rsidR="00062F16" w14:paraId="3972C83C" w14:textId="77777777" w:rsidTr="00062F16">
        <w:tc>
          <w:tcPr>
            <w:tcW w:w="3902" w:type="dxa"/>
            <w:hideMark/>
          </w:tcPr>
          <w:p w14:paraId="23A006BB" w14:textId="77777777" w:rsidR="00062F16" w:rsidRDefault="00062F16">
            <w:pPr>
              <w:pStyle w:val="Textkrper"/>
              <w:autoSpaceDE/>
              <w:adjustRightInd/>
              <w:spacing w:before="120" w:after="120" w:line="276" w:lineRule="auto"/>
              <w:rPr>
                <w:rFonts w:ascii="Arial" w:hAnsi="Arial"/>
                <w:bCs w:val="0"/>
                <w:szCs w:val="24"/>
              </w:rPr>
            </w:pPr>
            <w:r>
              <w:br w:type="page"/>
            </w:r>
            <w:r>
              <w:rPr>
                <w:rFonts w:ascii="Arial" w:hAnsi="Arial"/>
              </w:rPr>
              <w:t>Más información:</w:t>
            </w:r>
          </w:p>
          <w:p w14:paraId="4D2F0B73" w14:textId="77777777" w:rsidR="00062F16" w:rsidRDefault="00062F16">
            <w:pPr>
              <w:spacing w:before="120" w:after="120" w:line="276" w:lineRule="auto"/>
              <w:rPr>
                <w:rFonts w:ascii="Arial" w:hAnsi="Arial" w:cs="Arial"/>
                <w:sz w:val="20"/>
              </w:rPr>
            </w:pPr>
            <w:r>
              <w:rPr>
                <w:rFonts w:ascii="Arial" w:hAnsi="Arial"/>
                <w:sz w:val="20"/>
              </w:rPr>
              <w:t>Würth Elektronik eiSos GmbH &amp; Co. KG</w:t>
            </w:r>
            <w:r>
              <w:br/>
            </w:r>
            <w:r>
              <w:rPr>
                <w:rFonts w:ascii="Arial" w:hAnsi="Arial"/>
                <w:sz w:val="20"/>
              </w:rPr>
              <w:t>Sarah Hurst</w:t>
            </w:r>
            <w:r>
              <w:br/>
            </w:r>
            <w:r>
              <w:rPr>
                <w:rFonts w:ascii="Arial" w:hAnsi="Arial"/>
                <w:sz w:val="20"/>
              </w:rPr>
              <w:t>Clarita-Bernhard-Strasse 9</w:t>
            </w:r>
            <w:r>
              <w:br/>
            </w:r>
            <w:r>
              <w:rPr>
                <w:rFonts w:ascii="Arial" w:hAnsi="Arial"/>
                <w:sz w:val="20"/>
              </w:rPr>
              <w:t>81249 München</w:t>
            </w:r>
            <w:r>
              <w:rPr>
                <w:rFonts w:ascii="Arial" w:hAnsi="Arial"/>
                <w:sz w:val="20"/>
              </w:rPr>
              <w:br/>
              <w:t>Alemania</w:t>
            </w:r>
          </w:p>
          <w:p w14:paraId="20D71A9D" w14:textId="77777777" w:rsidR="00062F16" w:rsidRDefault="00062F16">
            <w:pPr>
              <w:spacing w:before="120" w:after="120" w:line="276" w:lineRule="auto"/>
              <w:rPr>
                <w:rFonts w:ascii="Arial" w:hAnsi="Arial" w:cs="Arial"/>
                <w:bCs/>
                <w:sz w:val="20"/>
              </w:rPr>
            </w:pPr>
            <w:r>
              <w:rPr>
                <w:rFonts w:ascii="Arial" w:hAnsi="Arial"/>
                <w:sz w:val="20"/>
              </w:rPr>
              <w:t>Tel.: +49 7942 945-5186</w:t>
            </w:r>
            <w:r>
              <w:br/>
            </w:r>
            <w:r>
              <w:rPr>
                <w:rFonts w:ascii="Arial" w:hAnsi="Arial"/>
                <w:sz w:val="20"/>
              </w:rPr>
              <w:t xml:space="preserve">Correo electrónico: </w:t>
            </w:r>
            <w:r>
              <w:rPr>
                <w:rFonts w:ascii="Arial" w:hAnsi="Arial"/>
                <w:sz w:val="20"/>
              </w:rPr>
              <w:br/>
              <w:t>sarah.hurst@we-online.de</w:t>
            </w:r>
          </w:p>
          <w:p w14:paraId="7724B8B9" w14:textId="77777777" w:rsidR="00062F16" w:rsidRDefault="00062F16">
            <w:pPr>
              <w:spacing w:before="120" w:after="120" w:line="276" w:lineRule="auto"/>
              <w:rPr>
                <w:rFonts w:ascii="Arial" w:hAnsi="Arial" w:cs="Arial"/>
                <w:bCs/>
                <w:sz w:val="20"/>
              </w:rPr>
            </w:pPr>
            <w:r>
              <w:rPr>
                <w:rFonts w:ascii="Arial" w:hAnsi="Arial"/>
                <w:sz w:val="20"/>
              </w:rPr>
              <w:t>www.we-online.com</w:t>
            </w:r>
          </w:p>
        </w:tc>
        <w:tc>
          <w:tcPr>
            <w:tcW w:w="3193" w:type="dxa"/>
            <w:hideMark/>
          </w:tcPr>
          <w:p w14:paraId="56CF7A2E" w14:textId="77777777" w:rsidR="00062F16" w:rsidRDefault="00062F16">
            <w:pPr>
              <w:pStyle w:val="Textkrper"/>
              <w:tabs>
                <w:tab w:val="left" w:pos="1065"/>
              </w:tabs>
              <w:autoSpaceDE/>
              <w:adjustRightInd/>
              <w:spacing w:before="120" w:after="120" w:line="276" w:lineRule="auto"/>
              <w:rPr>
                <w:rFonts w:ascii="Arial" w:hAnsi="Arial"/>
                <w:bCs w:val="0"/>
                <w:szCs w:val="24"/>
              </w:rPr>
            </w:pPr>
            <w:r>
              <w:rPr>
                <w:rFonts w:ascii="Arial" w:hAnsi="Arial"/>
              </w:rPr>
              <w:t>Contacto para la prensa:</w:t>
            </w:r>
          </w:p>
          <w:p w14:paraId="708F22FB" w14:textId="77777777" w:rsidR="00062F16" w:rsidRDefault="00062F16">
            <w:pPr>
              <w:tabs>
                <w:tab w:val="left" w:pos="1065"/>
              </w:tabs>
              <w:spacing w:before="120" w:after="120" w:line="276" w:lineRule="auto"/>
              <w:rPr>
                <w:rFonts w:ascii="Arial" w:hAnsi="Arial" w:cs="Arial"/>
                <w:bCs/>
                <w:sz w:val="20"/>
              </w:rPr>
            </w:pPr>
            <w:r>
              <w:rPr>
                <w:rFonts w:ascii="Arial" w:hAnsi="Arial"/>
                <w:sz w:val="20"/>
              </w:rPr>
              <w:t>HighTech communications GmbH</w:t>
            </w:r>
            <w:r>
              <w:br/>
            </w:r>
            <w:r>
              <w:rPr>
                <w:rFonts w:ascii="Arial" w:hAnsi="Arial"/>
                <w:sz w:val="20"/>
              </w:rPr>
              <w:t>Brigitte Basilio</w:t>
            </w:r>
            <w:r>
              <w:br/>
            </w:r>
            <w:r>
              <w:rPr>
                <w:rFonts w:ascii="Arial" w:hAnsi="Arial"/>
                <w:sz w:val="20"/>
              </w:rPr>
              <w:t>Brunhamstrasse 21</w:t>
            </w:r>
            <w:r>
              <w:br/>
            </w:r>
            <w:r>
              <w:rPr>
                <w:rFonts w:ascii="Arial" w:hAnsi="Arial"/>
                <w:sz w:val="20"/>
              </w:rPr>
              <w:t>81249 München</w:t>
            </w:r>
            <w:r>
              <w:rPr>
                <w:rFonts w:ascii="Arial" w:hAnsi="Arial"/>
                <w:sz w:val="20"/>
              </w:rPr>
              <w:br/>
              <w:t>Alemania</w:t>
            </w:r>
          </w:p>
          <w:p w14:paraId="3E3DE315" w14:textId="77777777" w:rsidR="00062F16" w:rsidRDefault="00062F16">
            <w:pPr>
              <w:tabs>
                <w:tab w:val="left" w:pos="1065"/>
              </w:tabs>
              <w:spacing w:before="120" w:after="120" w:line="276" w:lineRule="auto"/>
              <w:rPr>
                <w:rFonts w:ascii="Arial" w:hAnsi="Arial" w:cs="Arial"/>
                <w:bCs/>
                <w:sz w:val="20"/>
              </w:rPr>
            </w:pPr>
            <w:r>
              <w:rPr>
                <w:rFonts w:ascii="Arial" w:hAnsi="Arial"/>
                <w:sz w:val="20"/>
              </w:rPr>
              <w:t xml:space="preserve">Tel.: +49 89 500778-20 </w:t>
            </w:r>
            <w:r>
              <w:br/>
            </w:r>
            <w:r>
              <w:rPr>
                <w:rFonts w:ascii="Arial" w:hAnsi="Arial"/>
                <w:sz w:val="20"/>
              </w:rPr>
              <w:t>Correo electrónico: b.basilio@htcm.de</w:t>
            </w:r>
          </w:p>
          <w:p w14:paraId="673D65AF" w14:textId="77777777" w:rsidR="00062F16" w:rsidRDefault="00062F16">
            <w:pPr>
              <w:tabs>
                <w:tab w:val="left" w:pos="1065"/>
              </w:tabs>
              <w:spacing w:before="120" w:after="120" w:line="276" w:lineRule="auto"/>
              <w:rPr>
                <w:rFonts w:ascii="Arial" w:hAnsi="Arial" w:cs="Arial"/>
                <w:bCs/>
                <w:sz w:val="20"/>
              </w:rPr>
            </w:pPr>
            <w:r>
              <w:rPr>
                <w:rFonts w:ascii="Arial" w:hAnsi="Arial"/>
                <w:sz w:val="20"/>
              </w:rPr>
              <w:t xml:space="preserve">www.htcm.de </w:t>
            </w:r>
          </w:p>
        </w:tc>
      </w:tr>
      <w:bookmarkEnd w:id="1"/>
    </w:tbl>
    <w:p w14:paraId="03788197" w14:textId="77777777" w:rsidR="00062F16" w:rsidRDefault="00062F16" w:rsidP="00062F16">
      <w:pPr>
        <w:pStyle w:val="Textkrper"/>
        <w:spacing w:before="120" w:after="120" w:line="276" w:lineRule="auto"/>
      </w:pPr>
    </w:p>
    <w:p w14:paraId="28468CB8" w14:textId="77777777" w:rsidR="00062F16" w:rsidRPr="00062F16" w:rsidRDefault="00062F16">
      <w:pPr>
        <w:pStyle w:val="PITextkrper"/>
        <w:rPr>
          <w:b/>
          <w:bCs/>
          <w:sz w:val="18"/>
          <w:szCs w:val="18"/>
        </w:rPr>
      </w:pPr>
    </w:p>
    <w:sectPr w:rsidR="00062F16" w:rsidRPr="00062F16">
      <w:headerReference w:type="default" r:id="rId10"/>
      <w:footerReference w:type="default" r:id="rId11"/>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3605C4" w14:textId="77777777" w:rsidR="00F2603E" w:rsidRDefault="00DF42B3">
      <w:r>
        <w:separator/>
      </w:r>
    </w:p>
  </w:endnote>
  <w:endnote w:type="continuationSeparator" w:id="0">
    <w:p w14:paraId="6754C9E3" w14:textId="77777777" w:rsidR="00F2603E" w:rsidRDefault="00DF42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E337C6" w14:textId="22D394EE" w:rsidR="00F2603E" w:rsidRPr="00062F16" w:rsidRDefault="00DF42B3">
    <w:pPr>
      <w:pStyle w:val="Fuzeile"/>
      <w:tabs>
        <w:tab w:val="clear" w:pos="4536"/>
        <w:tab w:val="clear" w:pos="9072"/>
        <w:tab w:val="right" w:pos="7088"/>
      </w:tabs>
      <w:rPr>
        <w:rFonts w:ascii="Arial" w:hAnsi="Arial" w:cs="Arial"/>
        <w:noProof/>
        <w:snapToGrid w:val="0"/>
        <w:sz w:val="16"/>
        <w:szCs w:val="16"/>
        <w:lang w:val="en-US"/>
      </w:rPr>
    </w:pPr>
    <w:r>
      <w:rPr>
        <w:rFonts w:ascii="Arial" w:hAnsi="Arial" w:cs="Arial"/>
        <w:snapToGrid w:val="0"/>
        <w:sz w:val="16"/>
      </w:rPr>
      <w:fldChar w:fldCharType="begin"/>
    </w:r>
    <w:r w:rsidRPr="00062F16">
      <w:rPr>
        <w:rFonts w:ascii="Arial" w:hAnsi="Arial" w:cs="Arial"/>
        <w:snapToGrid w:val="0"/>
        <w:sz w:val="16"/>
        <w:lang w:val="en-US"/>
      </w:rPr>
      <w:instrText xml:space="preserve"> FILENAME  \* MERGEFORMAT </w:instrText>
    </w:r>
    <w:r>
      <w:rPr>
        <w:rFonts w:ascii="Arial" w:hAnsi="Arial" w:cs="Arial"/>
        <w:snapToGrid w:val="0"/>
        <w:sz w:val="16"/>
      </w:rPr>
      <w:fldChar w:fldCharType="separate"/>
    </w:r>
    <w:r w:rsidR="00605C24">
      <w:rPr>
        <w:rFonts w:ascii="Arial" w:hAnsi="Arial" w:cs="Arial"/>
        <w:noProof/>
        <w:snapToGrid w:val="0"/>
        <w:sz w:val="16"/>
        <w:lang w:val="en-US"/>
      </w:rPr>
      <w:t>WTH1PI1443</w:t>
    </w:r>
    <w:r w:rsidR="00335A8C">
      <w:rPr>
        <w:rFonts w:ascii="Arial" w:hAnsi="Arial" w:cs="Arial"/>
        <w:noProof/>
        <w:snapToGrid w:val="0"/>
        <w:sz w:val="16"/>
        <w:lang w:val="en-US"/>
      </w:rPr>
      <w:t>_es</w:t>
    </w:r>
    <w:r>
      <w:rPr>
        <w:rFonts w:ascii="Arial" w:hAnsi="Arial" w:cs="Arial"/>
        <w:snapToGrid w:val="0"/>
        <w:sz w:val="16"/>
      </w:rPr>
      <w:fldChar w:fldCharType="end"/>
    </w:r>
    <w:r w:rsidR="00335A8C">
      <w:rPr>
        <w:rFonts w:ascii="Arial" w:hAnsi="Arial" w:cs="Arial"/>
        <w:snapToGrid w:val="0"/>
        <w:sz w:val="16"/>
      </w:rPr>
      <w:t>.docx</w:t>
    </w:r>
    <w:r w:rsidRPr="00062F16">
      <w:rPr>
        <w:rFonts w:ascii="Arial" w:hAnsi="Arial"/>
        <w:snapToGrid w:val="0"/>
        <w:sz w:val="16"/>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0B5AFA" w14:textId="77777777" w:rsidR="00F2603E" w:rsidRDefault="00DF42B3">
      <w:r>
        <w:separator/>
      </w:r>
    </w:p>
  </w:footnote>
  <w:footnote w:type="continuationSeparator" w:id="0">
    <w:p w14:paraId="5B6464B3" w14:textId="77777777" w:rsidR="00F2603E" w:rsidRDefault="00DF42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1D3E8E" w14:textId="77777777" w:rsidR="00F2603E" w:rsidRDefault="00DF42B3">
    <w:pPr>
      <w:pStyle w:val="Kopfzeile"/>
      <w:tabs>
        <w:tab w:val="clear" w:pos="9072"/>
        <w:tab w:val="right" w:pos="9498"/>
      </w:tabs>
    </w:pPr>
    <w:r>
      <w:rPr>
        <w:noProof/>
        <w:lang w:eastAsia="zh-TW"/>
      </w:rPr>
      <w:drawing>
        <wp:anchor distT="0" distB="0" distL="114300" distR="114300" simplePos="0" relativeHeight="251657728" behindDoc="1" locked="0" layoutInCell="0" allowOverlap="1" wp14:anchorId="032AE0AE" wp14:editId="1EFA360D">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52060701">
    <w:abstractNumId w:val="4"/>
  </w:num>
  <w:num w:numId="2" w16cid:durableId="869685679">
    <w:abstractNumId w:val="1"/>
  </w:num>
  <w:num w:numId="3" w16cid:durableId="1733579989">
    <w:abstractNumId w:val="2"/>
  </w:num>
  <w:num w:numId="4" w16cid:durableId="1273976247">
    <w:abstractNumId w:val="3"/>
  </w:num>
  <w:num w:numId="5" w16cid:durableId="5294894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603E"/>
    <w:rsid w:val="00062F16"/>
    <w:rsid w:val="00335A8C"/>
    <w:rsid w:val="004965F8"/>
    <w:rsid w:val="00546618"/>
    <w:rsid w:val="00605C24"/>
    <w:rsid w:val="009450E5"/>
    <w:rsid w:val="00B31808"/>
    <w:rsid w:val="00BC49C2"/>
    <w:rsid w:val="00C149BF"/>
    <w:rsid w:val="00C6625B"/>
    <w:rsid w:val="00DF42B3"/>
    <w:rsid w:val="00E43811"/>
    <w:rsid w:val="00F2603E"/>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29E82EFA"/>
  <w15:chartTrackingRefBased/>
  <w15:docId w15:val="{05399A95-80B0-4E52-9D8B-AD20E06A4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s-E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es-ES"/>
    </w:rPr>
  </w:style>
  <w:style w:type="character" w:customStyle="1" w:styleId="NichtaufgelsteErwhnung1">
    <w:name w:val="Nicht aufgelöste Erwähnung1"/>
    <w:uiPriority w:val="99"/>
    <w:semiHidden/>
    <w:unhideWhenUsed/>
    <w:rPr>
      <w:color w:val="605E5C"/>
      <w:shd w:val="clear" w:color="auto" w:fill="E1DFDD"/>
    </w:rPr>
  </w:style>
  <w:style w:type="paragraph" w:styleId="Listenabsatz">
    <w:name w:val="List Paragraph"/>
    <w:basedOn w:val="Standard"/>
    <w:uiPriority w:val="34"/>
    <w:qFormat/>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style>
  <w:style w:type="character" w:styleId="BesuchterLink">
    <w:name w:val="FollowedHyperlink"/>
    <w:rPr>
      <w:color w:val="954F72"/>
      <w:u w:val="single"/>
    </w:rPr>
  </w:style>
  <w:style w:type="paragraph" w:customStyle="1" w:styleId="pf0">
    <w:name w:val="pf0"/>
    <w:basedOn w:val="Standard"/>
    <w:pPr>
      <w:spacing w:before="100" w:beforeAutospacing="1" w:after="100" w:afterAutospacing="1"/>
    </w:pPr>
  </w:style>
  <w:style w:type="character" w:customStyle="1" w:styleId="cf01">
    <w:name w:val="cf01"/>
    <w:basedOn w:val="Absatz-Standardschriftart"/>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081309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35608436">
      <w:bodyDiv w:val="1"/>
      <w:marLeft w:val="0"/>
      <w:marRight w:val="0"/>
      <w:marTop w:val="0"/>
      <w:marBottom w:val="0"/>
      <w:divBdr>
        <w:top w:val="none" w:sz="0" w:space="0" w:color="auto"/>
        <w:left w:val="none" w:sz="0" w:space="0" w:color="auto"/>
        <w:bottom w:val="none" w:sz="0" w:space="0" w:color="auto"/>
        <w:right w:val="none" w:sz="0" w:space="0" w:color="auto"/>
      </w:divBdr>
    </w:div>
    <w:div w:id="836268593">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88248403">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33642452">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1968316277">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wuert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8D1036-3FB9-4BF2-966D-DEAFC17F5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664</Words>
  <Characters>3961</Characters>
  <Application>Microsoft Office Word</Application>
  <DocSecurity>0</DocSecurity>
  <Lines>33</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4616</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
  <cp:keywords/>
  <cp:lastModifiedBy>Brigitte Basilio</cp:lastModifiedBy>
  <cp:revision>3</cp:revision>
  <cp:lastPrinted>2017-06-23T08:32:00Z</cp:lastPrinted>
  <dcterms:created xsi:type="dcterms:W3CDTF">2024-05-23T13:07:00Z</dcterms:created>
  <dcterms:modified xsi:type="dcterms:W3CDTF">2024-05-27T14:29:00Z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