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BACF" w14:textId="77777777" w:rsidR="0090072E" w:rsidRDefault="0090072E" w:rsidP="0090072E">
      <w:pPr>
        <w:pStyle w:val="berschrift1"/>
        <w:spacing w:before="720" w:after="720" w:line="260" w:lineRule="exact"/>
        <w:rPr>
          <w:sz w:val="20"/>
        </w:rPr>
      </w:pPr>
      <w:r>
        <w:rPr>
          <w:sz w:val="20"/>
        </w:rPr>
        <w:t>PRESS RELEASE</w:t>
      </w:r>
    </w:p>
    <w:p w14:paraId="59879415" w14:textId="63E967A0" w:rsidR="00485E6F" w:rsidRPr="00B94DAE" w:rsidRDefault="00B14D0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expands its range of power </w:t>
      </w:r>
      <w:proofErr w:type="gramStart"/>
      <w:r>
        <w:rPr>
          <w:rFonts w:ascii="Arial" w:hAnsi="Arial"/>
          <w:b/>
        </w:rPr>
        <w:t>inductors</w:t>
      </w:r>
      <w:proofErr w:type="gramEnd"/>
    </w:p>
    <w:p w14:paraId="4148C797" w14:textId="138CD4E8" w:rsidR="00485E6F" w:rsidRPr="00B94DAE" w:rsidRDefault="00B14D0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Eight New Sizes in the Extremely Efficient Inductor Series</w:t>
      </w:r>
    </w:p>
    <w:p w14:paraId="1DE5DD95" w14:textId="0621F2FA" w:rsidR="00142A00" w:rsidRPr="00E87C88" w:rsidRDefault="00485E6F" w:rsidP="00142A00">
      <w:pPr>
        <w:pStyle w:val="Textkrper"/>
        <w:spacing w:before="120" w:after="120" w:line="260" w:lineRule="exact"/>
        <w:jc w:val="both"/>
        <w:rPr>
          <w:rFonts w:ascii="Arial" w:hAnsi="Arial"/>
          <w:color w:val="000000"/>
        </w:rPr>
      </w:pPr>
      <w:r>
        <w:rPr>
          <w:rFonts w:ascii="Arial" w:hAnsi="Arial"/>
          <w:color w:val="000000"/>
        </w:rPr>
        <w:t>Waldenburg</w:t>
      </w:r>
      <w:r w:rsidR="00512F9E">
        <w:rPr>
          <w:rFonts w:ascii="Arial" w:hAnsi="Arial"/>
          <w:color w:val="000000"/>
        </w:rPr>
        <w:t xml:space="preserve"> (</w:t>
      </w:r>
      <w:r>
        <w:rPr>
          <w:rFonts w:ascii="Arial" w:hAnsi="Arial"/>
          <w:color w:val="000000"/>
        </w:rPr>
        <w:t>Germany</w:t>
      </w:r>
      <w:r w:rsidR="00512F9E">
        <w:rPr>
          <w:rFonts w:ascii="Arial" w:hAnsi="Arial"/>
          <w:color w:val="000000"/>
        </w:rPr>
        <w:t>)</w:t>
      </w:r>
      <w:r>
        <w:rPr>
          <w:rFonts w:ascii="Arial" w:hAnsi="Arial"/>
          <w:color w:val="000000"/>
        </w:rPr>
        <w:t xml:space="preserve">, </w:t>
      </w:r>
      <w:r w:rsidR="00E14FFB">
        <w:rPr>
          <w:rFonts w:ascii="Arial" w:hAnsi="Arial"/>
          <w:color w:val="000000"/>
        </w:rPr>
        <w:t>May 28</w:t>
      </w:r>
      <w:r>
        <w:rPr>
          <w:rFonts w:ascii="Arial" w:hAnsi="Arial"/>
          <w:color w:val="000000"/>
        </w:rPr>
        <w:t xml:space="preserve">, 2024 – In addition to Würth </w:t>
      </w:r>
      <w:proofErr w:type="spellStart"/>
      <w:r>
        <w:rPr>
          <w:rFonts w:ascii="Arial" w:hAnsi="Arial"/>
          <w:color w:val="000000"/>
        </w:rPr>
        <w:t>Elektronik’s</w:t>
      </w:r>
      <w:proofErr w:type="spellEnd"/>
      <w:r>
        <w:rPr>
          <w:rFonts w:ascii="Arial" w:hAnsi="Arial"/>
          <w:color w:val="000000"/>
        </w:rPr>
        <w:t xml:space="preserve"> five existing package sizes of</w:t>
      </w:r>
      <w:r w:rsidR="007E1ADF">
        <w:rPr>
          <w:rFonts w:ascii="Arial" w:hAnsi="Arial"/>
          <w:color w:val="000000"/>
        </w:rPr>
        <w:t xml:space="preserve"> </w:t>
      </w:r>
      <w:hyperlink r:id="rId8" w:history="1">
        <w:r>
          <w:rPr>
            <w:rStyle w:val="Hyperlink"/>
            <w:rFonts w:ascii="Arial" w:hAnsi="Arial"/>
          </w:rPr>
          <w:t>WE-XHMI SMT power inductors</w:t>
        </w:r>
      </w:hyperlink>
      <w:r w:rsidR="007E1ADF">
        <w:rPr>
          <w:rStyle w:val="Hyperlink"/>
          <w:rFonts w:ascii="Arial" w:hAnsi="Arial"/>
        </w:rPr>
        <w:t xml:space="preserve"> </w:t>
      </w:r>
      <w:r>
        <w:rPr>
          <w:rFonts w:ascii="Arial" w:hAnsi="Arial"/>
          <w:color w:val="000000"/>
        </w:rPr>
        <w:t xml:space="preserve">there are now eight new </w:t>
      </w:r>
      <w:r w:rsidR="00A772B8">
        <w:rPr>
          <w:rFonts w:ascii="Arial" w:hAnsi="Arial"/>
          <w:color w:val="000000"/>
        </w:rPr>
        <w:t>packages</w:t>
      </w:r>
      <w:r>
        <w:rPr>
          <w:rFonts w:ascii="Arial" w:hAnsi="Arial"/>
          <w:color w:val="000000"/>
        </w:rPr>
        <w:t xml:space="preserve">. These compact yet extremely efficient inductors feature high current capacity up to 56 A saturation current and the ability to handle high transient current spikes. This makes them particularly suitable for use as DC/DC converters in power supplies, point-of-load </w:t>
      </w:r>
      <w:proofErr w:type="gramStart"/>
      <w:r>
        <w:rPr>
          <w:rFonts w:ascii="Arial" w:hAnsi="Arial"/>
          <w:color w:val="000000"/>
        </w:rPr>
        <w:t>converters</w:t>
      </w:r>
      <w:proofErr w:type="gramEnd"/>
      <w:r>
        <w:rPr>
          <w:rFonts w:ascii="Arial" w:hAnsi="Arial"/>
          <w:color w:val="000000"/>
        </w:rPr>
        <w:t xml:space="preserve"> and high-current filters, as well as in industrial computers, mainboards and graphics cards.</w:t>
      </w:r>
    </w:p>
    <w:p w14:paraId="6B9A5733" w14:textId="7E884755" w:rsidR="00142A00" w:rsidRPr="00E87C88" w:rsidRDefault="00142A00" w:rsidP="00142A00">
      <w:pPr>
        <w:pStyle w:val="Textkrper"/>
        <w:spacing w:before="120" w:after="120" w:line="260" w:lineRule="exact"/>
        <w:jc w:val="both"/>
        <w:rPr>
          <w:rFonts w:ascii="Arial" w:hAnsi="Arial"/>
          <w:b w:val="0"/>
          <w:bCs w:val="0"/>
          <w:color w:val="000000"/>
        </w:rPr>
      </w:pPr>
      <w:r>
        <w:rPr>
          <w:rFonts w:ascii="Arial" w:hAnsi="Arial"/>
          <w:b w:val="0"/>
          <w:color w:val="000000"/>
        </w:rPr>
        <w:t xml:space="preserve">The molded flat wire inductor, previously only available in the Power Magnetics product family, now also comes in </w:t>
      </w:r>
      <w:r>
        <w:rPr>
          <w:rFonts w:ascii="Arial" w:hAnsi="Arial"/>
          <w:b w:val="0"/>
        </w:rPr>
        <w:t xml:space="preserve">4020, 4030, 4040, 5020, 5030, 5050, 7030 and 7070 </w:t>
      </w:r>
      <w:r>
        <w:rPr>
          <w:rFonts w:ascii="Arial" w:hAnsi="Arial"/>
          <w:b w:val="0"/>
          <w:color w:val="000000"/>
        </w:rPr>
        <w:t xml:space="preserve">package </w:t>
      </w:r>
      <w:proofErr w:type="spellStart"/>
      <w:proofErr w:type="gramStart"/>
      <w:r>
        <w:rPr>
          <w:rFonts w:ascii="Arial" w:hAnsi="Arial"/>
          <w:b w:val="0"/>
          <w:color w:val="000000"/>
        </w:rPr>
        <w:t>sizes.</w:t>
      </w:r>
      <w:r w:rsidR="00BE6829">
        <w:rPr>
          <w:rFonts w:ascii="Arial" w:hAnsi="Arial"/>
          <w:b w:val="0"/>
          <w:color w:val="000000"/>
        </w:rPr>
        <w:t>T</w:t>
      </w:r>
      <w:r>
        <w:rPr>
          <w:rFonts w:ascii="Arial" w:hAnsi="Arial"/>
          <w:b w:val="0"/>
          <w:color w:val="000000"/>
        </w:rPr>
        <w:t>he</w:t>
      </w:r>
      <w:proofErr w:type="spellEnd"/>
      <w:proofErr w:type="gramEnd"/>
      <w:r>
        <w:rPr>
          <w:rFonts w:ascii="Arial" w:hAnsi="Arial"/>
          <w:b w:val="0"/>
          <w:color w:val="000000"/>
        </w:rPr>
        <w:t xml:space="preserve"> series is also available in smaller packages, and the 70xx sizes close a gap in the existing portfolio. The new packages help to further optimize the production process, resulting in a significant improvement in the electrical properties R</w:t>
      </w:r>
      <w:r>
        <w:rPr>
          <w:rFonts w:ascii="Arial" w:hAnsi="Arial"/>
          <w:b w:val="0"/>
          <w:color w:val="000000"/>
          <w:vertAlign w:val="subscript"/>
        </w:rPr>
        <w:t>DC</w:t>
      </w:r>
      <w:r>
        <w:rPr>
          <w:rFonts w:ascii="Arial" w:hAnsi="Arial"/>
          <w:b w:val="0"/>
          <w:color w:val="000000"/>
        </w:rPr>
        <w:t xml:space="preserve">, </w:t>
      </w:r>
      <w:proofErr w:type="spellStart"/>
      <w:r>
        <w:rPr>
          <w:rFonts w:ascii="Arial" w:hAnsi="Arial"/>
          <w:b w:val="0"/>
          <w:color w:val="000000"/>
        </w:rPr>
        <w:t>I</w:t>
      </w:r>
      <w:r>
        <w:rPr>
          <w:rFonts w:ascii="Arial" w:hAnsi="Arial"/>
          <w:b w:val="0"/>
          <w:color w:val="000000"/>
          <w:vertAlign w:val="subscript"/>
        </w:rPr>
        <w:t>sat</w:t>
      </w:r>
      <w:proofErr w:type="spellEnd"/>
      <w:r>
        <w:rPr>
          <w:rFonts w:ascii="Arial" w:hAnsi="Arial"/>
          <w:b w:val="0"/>
          <w:color w:val="000000"/>
        </w:rPr>
        <w:t xml:space="preserve"> and I</w:t>
      </w:r>
      <w:r>
        <w:rPr>
          <w:rFonts w:ascii="Arial" w:hAnsi="Arial"/>
          <w:b w:val="0"/>
          <w:color w:val="000000"/>
          <w:vertAlign w:val="subscript"/>
        </w:rPr>
        <w:t>r</w:t>
      </w:r>
      <w:r>
        <w:rPr>
          <w:rFonts w:ascii="Arial" w:hAnsi="Arial"/>
          <w:b w:val="0"/>
          <w:color w:val="000000"/>
        </w:rPr>
        <w:t>.</w:t>
      </w:r>
    </w:p>
    <w:p w14:paraId="03BBC0BA" w14:textId="6CB42E96" w:rsidR="00142A00" w:rsidRPr="00E87C88" w:rsidRDefault="00142A00" w:rsidP="00142A00">
      <w:pPr>
        <w:pStyle w:val="Textkrper"/>
        <w:spacing w:before="120" w:after="120" w:line="260" w:lineRule="exact"/>
        <w:jc w:val="both"/>
        <w:rPr>
          <w:rFonts w:ascii="Arial" w:hAnsi="Arial"/>
          <w:b w:val="0"/>
          <w:bCs w:val="0"/>
          <w:color w:val="000000"/>
        </w:rPr>
      </w:pPr>
      <w:r>
        <w:rPr>
          <w:rFonts w:ascii="Arial" w:hAnsi="Arial"/>
          <w:b w:val="0"/>
          <w:color w:val="000000"/>
        </w:rPr>
        <w:t>The AEC-Q200</w:t>
      </w:r>
      <w:r w:rsidR="007E1ADF">
        <w:rPr>
          <w:rFonts w:ascii="Arial" w:hAnsi="Arial"/>
          <w:b w:val="0"/>
          <w:color w:val="000000"/>
        </w:rPr>
        <w:t>-</w:t>
      </w:r>
      <w:r>
        <w:rPr>
          <w:rFonts w:ascii="Arial" w:hAnsi="Arial"/>
          <w:b w:val="0"/>
          <w:color w:val="000000"/>
        </w:rPr>
        <w:t>qualified WE-XHMI series inductors can be used at operating temperatures from -40°C to +125°C and cover an inductance range from 0.15 to 33 µH with currents up to 56 A.</w:t>
      </w:r>
    </w:p>
    <w:p w14:paraId="50B4B94C" w14:textId="293DA3F0" w:rsidR="001E3BE0" w:rsidRPr="00E87C88" w:rsidRDefault="001E3BE0" w:rsidP="00142A00">
      <w:pPr>
        <w:pStyle w:val="Textkrper"/>
        <w:spacing w:before="120" w:after="120" w:line="260" w:lineRule="exact"/>
        <w:jc w:val="both"/>
        <w:rPr>
          <w:rFonts w:ascii="Arial" w:hAnsi="Arial"/>
          <w:color w:val="000000"/>
        </w:rPr>
      </w:pPr>
      <w:r>
        <w:rPr>
          <w:rFonts w:ascii="Arial" w:hAnsi="Arial"/>
          <w:color w:val="000000"/>
        </w:rPr>
        <w:t>Advantage of flat wire coils</w:t>
      </w:r>
    </w:p>
    <w:p w14:paraId="36BA7230" w14:textId="780CC0A9" w:rsidR="001E3BE0" w:rsidRPr="00E87C88" w:rsidRDefault="00B93555" w:rsidP="00B93555">
      <w:pPr>
        <w:pStyle w:val="Textkrper"/>
        <w:spacing w:before="120" w:after="120" w:line="260" w:lineRule="exact"/>
        <w:jc w:val="both"/>
        <w:rPr>
          <w:rFonts w:ascii="Arial" w:hAnsi="Arial"/>
          <w:b w:val="0"/>
          <w:bCs w:val="0"/>
          <w:color w:val="000000"/>
        </w:rPr>
      </w:pPr>
      <w:r>
        <w:rPr>
          <w:rFonts w:ascii="Arial" w:hAnsi="Arial"/>
          <w:b w:val="0"/>
          <w:color w:val="000000"/>
        </w:rPr>
        <w:t xml:space="preserve">Using the WE-XHMI flat wire inductor improves efficiency and effectiveness thanks to very low winding resistance. The design as a flat wire coil with a composite core material achieves extremely low copper losses and stable behavior with temperature fluctuations. What’s more, the use of flat wire reduces the skin effect, as there is a larger surface area with the same cross-section. </w:t>
      </w:r>
    </w:p>
    <w:p w14:paraId="1A6851C7" w14:textId="7EC6D348" w:rsidR="00485E6F" w:rsidRPr="00E87C88" w:rsidRDefault="001E3BE0" w:rsidP="001E3BE0">
      <w:pPr>
        <w:pStyle w:val="Textkrper"/>
        <w:spacing w:before="120" w:after="120" w:line="260" w:lineRule="exact"/>
        <w:jc w:val="both"/>
        <w:rPr>
          <w:rFonts w:ascii="Arial" w:hAnsi="Arial"/>
          <w:b w:val="0"/>
          <w:bCs w:val="0"/>
        </w:rPr>
      </w:pPr>
      <w:r>
        <w:rPr>
          <w:rFonts w:ascii="Arial" w:hAnsi="Arial"/>
          <w:b w:val="0"/>
        </w:rPr>
        <w:t>All package sizes of SMT power inductors are now available from stock without a minimum order quantity. Free samples are available for developers.</w:t>
      </w:r>
    </w:p>
    <w:p w14:paraId="6228A4A7" w14:textId="77777777" w:rsidR="00485E6F" w:rsidRDefault="00485E6F" w:rsidP="00485E6F">
      <w:pPr>
        <w:pStyle w:val="Textkrper"/>
        <w:spacing w:before="120" w:after="120" w:line="260" w:lineRule="exact"/>
        <w:jc w:val="both"/>
        <w:rPr>
          <w:rFonts w:ascii="Arial" w:hAnsi="Arial"/>
          <w:b w:val="0"/>
          <w:bCs w:val="0"/>
        </w:rPr>
      </w:pPr>
    </w:p>
    <w:p w14:paraId="1F594B98" w14:textId="77777777" w:rsidR="00B17873" w:rsidRPr="00B94DAE" w:rsidRDefault="00B17873" w:rsidP="00485E6F">
      <w:pPr>
        <w:pStyle w:val="Textkrper"/>
        <w:spacing w:before="120" w:after="120" w:line="260" w:lineRule="exact"/>
        <w:jc w:val="both"/>
        <w:rPr>
          <w:rFonts w:ascii="Arial" w:hAnsi="Arial"/>
          <w:b w:val="0"/>
          <w:bCs w:val="0"/>
        </w:rPr>
      </w:pPr>
    </w:p>
    <w:p w14:paraId="7653B424" w14:textId="77777777" w:rsidR="00485E6F" w:rsidRPr="000968E4" w:rsidRDefault="00485E6F" w:rsidP="00485E6F">
      <w:pPr>
        <w:pStyle w:val="PITextkrper"/>
        <w:pBdr>
          <w:top w:val="single" w:sz="4" w:space="1" w:color="auto"/>
        </w:pBdr>
        <w:spacing w:before="240"/>
        <w:rPr>
          <w:b/>
          <w:sz w:val="18"/>
          <w:szCs w:val="18"/>
        </w:rPr>
      </w:pPr>
    </w:p>
    <w:p w14:paraId="1C371192" w14:textId="77777777" w:rsidR="0090072E" w:rsidRDefault="0090072E" w:rsidP="0090072E">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07A9C052" w14:textId="77777777" w:rsidR="0090072E" w:rsidRDefault="0090072E" w:rsidP="0090072E">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rPr>
          <w:t>https://kk.htcm.de/press-releases/wuerth/</w:t>
        </w:r>
      </w:hyperlink>
    </w:p>
    <w:p w14:paraId="6BF7729B" w14:textId="77777777" w:rsidR="00B17873" w:rsidRPr="00B17873" w:rsidRDefault="00B17873" w:rsidP="00B17873">
      <w:pPr>
        <w:pStyle w:val="Textkrper"/>
        <w:spacing w:before="120" w:after="120" w:line="260" w:lineRule="exact"/>
        <w:jc w:val="both"/>
        <w:rPr>
          <w:rStyle w:val="Hyperlink"/>
          <w:b w:val="0"/>
          <w:bCs w:val="0"/>
          <w:color w:val="auto"/>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B17873">
        <w:trPr>
          <w:trHeight w:val="1701"/>
        </w:trPr>
        <w:tc>
          <w:tcPr>
            <w:tcW w:w="3719" w:type="dxa"/>
          </w:tcPr>
          <w:p w14:paraId="082D1460" w14:textId="77777777" w:rsidR="00B17873" w:rsidRDefault="00283514" w:rsidP="00B17873">
            <w:pPr>
              <w:pStyle w:val="txt"/>
              <w:jc w:val="center"/>
              <w:rPr>
                <w:sz w:val="16"/>
              </w:rPr>
            </w:pPr>
            <w:r>
              <w:rPr>
                <w:noProof/>
              </w:rPr>
              <w:br/>
            </w:r>
            <w:r>
              <w:rPr>
                <w:noProof/>
              </w:rPr>
              <w:drawing>
                <wp:inline distT="0" distB="0" distL="0" distR="0" wp14:anchorId="1FC9530E" wp14:editId="01FE8077">
                  <wp:extent cx="2041366" cy="1724025"/>
                  <wp:effectExtent l="0" t="0" r="0" b="0"/>
                  <wp:docPr id="3554270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782" b="10763"/>
                          <a:stretch/>
                        </pic:blipFill>
                        <pic:spPr bwMode="auto">
                          <a:xfrm>
                            <a:off x="0" y="0"/>
                            <a:ext cx="2041644" cy="1724260"/>
                          </a:xfrm>
                          <a:prstGeom prst="rect">
                            <a:avLst/>
                          </a:prstGeom>
                          <a:noFill/>
                          <a:ln>
                            <a:noFill/>
                          </a:ln>
                          <a:extLst>
                            <a:ext uri="{53640926-AAD7-44D8-BBD7-CCE9431645EC}">
                              <a14:shadowObscured xmlns:a14="http://schemas.microsoft.com/office/drawing/2010/main"/>
                            </a:ext>
                          </a:extLst>
                        </pic:spPr>
                      </pic:pic>
                    </a:graphicData>
                  </a:graphic>
                </wp:inline>
              </w:drawing>
            </w:r>
          </w:p>
          <w:p w14:paraId="5A320371" w14:textId="25D8C5E8" w:rsidR="00485E6F" w:rsidRPr="00B94DAE" w:rsidRDefault="00FF1A49" w:rsidP="00B17873">
            <w:pPr>
              <w:pStyle w:val="txt"/>
              <w:rPr>
                <w:b/>
                <w:bCs/>
                <w:sz w:val="18"/>
              </w:rPr>
            </w:pPr>
            <w:r>
              <w:rPr>
                <w:sz w:val="16"/>
              </w:rPr>
              <w:t xml:space="preserve">Image source: Würth </w:t>
            </w:r>
            <w:proofErr w:type="spellStart"/>
            <w:r>
              <w:rPr>
                <w:sz w:val="16"/>
              </w:rPr>
              <w:t>Elektronik</w:t>
            </w:r>
            <w:proofErr w:type="spellEnd"/>
          </w:p>
          <w:p w14:paraId="5ED23578" w14:textId="4A966B09" w:rsidR="00485E6F" w:rsidRPr="00B94DAE" w:rsidRDefault="001E3BE0" w:rsidP="00CE17D6">
            <w:pPr>
              <w:autoSpaceDE w:val="0"/>
              <w:autoSpaceDN w:val="0"/>
              <w:adjustRightInd w:val="0"/>
              <w:rPr>
                <w:rFonts w:ascii="Arial" w:hAnsi="Arial" w:cs="Arial"/>
                <w:b/>
                <w:bCs/>
                <w:sz w:val="18"/>
                <w:szCs w:val="18"/>
              </w:rPr>
            </w:pPr>
            <w:r>
              <w:rPr>
                <w:rFonts w:ascii="Arial" w:hAnsi="Arial"/>
                <w:b/>
                <w:sz w:val="18"/>
              </w:rPr>
              <w:t xml:space="preserve">The WE-XHMI series of Würth </w:t>
            </w:r>
            <w:proofErr w:type="spellStart"/>
            <w:r>
              <w:rPr>
                <w:rFonts w:ascii="Arial" w:hAnsi="Arial"/>
                <w:b/>
                <w:sz w:val="18"/>
              </w:rPr>
              <w:t>Elektronik</w:t>
            </w:r>
            <w:proofErr w:type="spellEnd"/>
            <w:r>
              <w:rPr>
                <w:rFonts w:ascii="Arial" w:hAnsi="Arial"/>
                <w:b/>
                <w:sz w:val="18"/>
              </w:rPr>
              <w:t xml:space="preserve"> power inductors has been extended to include further package sizes.</w:t>
            </w:r>
            <w:r>
              <w:rPr>
                <w:rFonts w:ascii="Arial" w:hAnsi="Arial"/>
                <w:b/>
                <w:sz w:val="18"/>
              </w:rPr>
              <w:br/>
            </w:r>
          </w:p>
        </w:tc>
      </w:tr>
    </w:tbl>
    <w:p w14:paraId="388B8CF4" w14:textId="77777777" w:rsidR="00485E6F" w:rsidRDefault="00485E6F" w:rsidP="00485E6F">
      <w:pPr>
        <w:pStyle w:val="PITextkrper"/>
        <w:rPr>
          <w:b/>
          <w:bCs/>
          <w:sz w:val="18"/>
          <w:szCs w:val="18"/>
        </w:rPr>
      </w:pPr>
    </w:p>
    <w:p w14:paraId="69FB726E" w14:textId="77777777" w:rsidR="00A965C6" w:rsidRDefault="00A965C6" w:rsidP="00485E6F">
      <w:pPr>
        <w:pStyle w:val="PITextkrper"/>
        <w:rPr>
          <w:b/>
          <w:bCs/>
          <w:sz w:val="18"/>
          <w:szCs w:val="18"/>
        </w:rPr>
      </w:pPr>
    </w:p>
    <w:p w14:paraId="660C7B9D" w14:textId="77777777" w:rsidR="00A965C6" w:rsidRDefault="00A965C6" w:rsidP="00A965C6">
      <w:pPr>
        <w:pStyle w:val="PITextkrper"/>
        <w:pBdr>
          <w:top w:val="single" w:sz="4" w:space="1" w:color="auto"/>
        </w:pBdr>
        <w:spacing w:before="240"/>
        <w:rPr>
          <w:b/>
          <w:sz w:val="18"/>
          <w:szCs w:val="18"/>
        </w:rPr>
      </w:pPr>
    </w:p>
    <w:p w14:paraId="07EF2B4D" w14:textId="243936DD" w:rsidR="00A965C6" w:rsidRDefault="00A965C6" w:rsidP="00A965C6">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EFA3544" w14:textId="6189BCBE" w:rsidR="00A965C6" w:rsidRDefault="00A965C6" w:rsidP="00A965C6">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2FDA2D92" w14:textId="77777777" w:rsidR="00A965C6" w:rsidRDefault="00A965C6" w:rsidP="00A965C6">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 The portfolio is complemented by customized solutions.</w:t>
      </w:r>
    </w:p>
    <w:p w14:paraId="601318E6" w14:textId="3CDCB664" w:rsidR="00A965C6" w:rsidRDefault="00A965C6" w:rsidP="00A965C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bookmarkEnd w:id="0"/>
    <w:bookmarkEnd w:id="1"/>
    <w:p w14:paraId="57AF07BF" w14:textId="77777777" w:rsidR="00A965C6" w:rsidRDefault="00A965C6" w:rsidP="00A965C6">
      <w:pPr>
        <w:pStyle w:val="Textkrper"/>
        <w:spacing w:before="120" w:after="120" w:line="276" w:lineRule="auto"/>
        <w:jc w:val="both"/>
        <w:rPr>
          <w:rFonts w:ascii="Arial" w:hAnsi="Arial"/>
          <w:b w:val="0"/>
        </w:rPr>
      </w:pPr>
      <w:r>
        <w:rPr>
          <w:rFonts w:ascii="Arial" w:hAnsi="Arial"/>
          <w:b w:val="0"/>
        </w:rPr>
        <w:lastRenderedPageBreak/>
        <w:t xml:space="preserve">Würth </w:t>
      </w:r>
      <w:proofErr w:type="spellStart"/>
      <w:r>
        <w:rPr>
          <w:rFonts w:ascii="Arial" w:hAnsi="Arial"/>
          <w:b w:val="0"/>
        </w:rPr>
        <w:t>Elektronik</w:t>
      </w:r>
      <w:proofErr w:type="spellEnd"/>
      <w:r>
        <w:rPr>
          <w:rFonts w:ascii="Arial" w:hAnsi="Arial"/>
          <w:b w:val="0"/>
        </w:rPr>
        <w:t xml:space="preserve"> is part of the Würth Group, the global market leader in the development, production, and sale of fastening and assembly materials, and employs 7,900 people. In 2023, the Würth </w:t>
      </w:r>
      <w:proofErr w:type="spellStart"/>
      <w:r>
        <w:rPr>
          <w:rFonts w:ascii="Arial" w:hAnsi="Arial"/>
          <w:b w:val="0"/>
        </w:rPr>
        <w:t>Elektronik</w:t>
      </w:r>
      <w:proofErr w:type="spellEnd"/>
      <w:r>
        <w:rPr>
          <w:rFonts w:ascii="Arial" w:hAnsi="Arial"/>
          <w:b w:val="0"/>
        </w:rPr>
        <w:t xml:space="preserve"> Group generated sales of 1.24 </w:t>
      </w:r>
      <w:proofErr w:type="gramStart"/>
      <w:r>
        <w:rPr>
          <w:rFonts w:ascii="Arial" w:hAnsi="Arial"/>
          <w:b w:val="0"/>
        </w:rPr>
        <w:t>Billion</w:t>
      </w:r>
      <w:proofErr w:type="gramEnd"/>
      <w:r>
        <w:rPr>
          <w:rFonts w:ascii="Arial" w:hAnsi="Arial"/>
          <w:b w:val="0"/>
        </w:rPr>
        <w:t xml:space="preserve"> Euro.</w:t>
      </w:r>
    </w:p>
    <w:p w14:paraId="70C8FC35" w14:textId="77777777" w:rsidR="00A965C6" w:rsidRDefault="00A965C6" w:rsidP="00A965C6">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69806494" w14:textId="77777777" w:rsidR="00A965C6" w:rsidRDefault="00A965C6" w:rsidP="00A965C6">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D9F6E2F" w14:textId="77777777" w:rsidR="00A965C6" w:rsidRDefault="00A965C6" w:rsidP="00A965C6">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965C6" w14:paraId="0B8EF100" w14:textId="77777777" w:rsidTr="00A965C6">
        <w:tc>
          <w:tcPr>
            <w:tcW w:w="3902" w:type="dxa"/>
            <w:hideMark/>
          </w:tcPr>
          <w:p w14:paraId="6852FAE8" w14:textId="77777777" w:rsidR="00A965C6" w:rsidRDefault="00A965C6">
            <w:pPr>
              <w:pStyle w:val="Textkrper"/>
              <w:autoSpaceDE/>
              <w:adjustRightInd/>
              <w:spacing w:before="120" w:after="120" w:line="276" w:lineRule="auto"/>
              <w:rPr>
                <w:rFonts w:ascii="Arial" w:hAnsi="Arial"/>
                <w:bCs w:val="0"/>
                <w:szCs w:val="24"/>
              </w:rPr>
            </w:pPr>
            <w:r>
              <w:rPr>
                <w:b w:val="0"/>
                <w:bCs w:val="0"/>
              </w:rPr>
              <w:br w:type="page"/>
            </w:r>
            <w:r>
              <w:rPr>
                <w:rFonts w:ascii="Arial" w:hAnsi="Arial"/>
                <w:bCs w:val="0"/>
                <w:szCs w:val="24"/>
              </w:rPr>
              <w:t>Further information:</w:t>
            </w:r>
          </w:p>
          <w:p w14:paraId="52707D9B" w14:textId="77777777" w:rsidR="00A965C6" w:rsidRDefault="00A965C6">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08F8FA8" w14:textId="77777777" w:rsidR="00A965C6" w:rsidRDefault="00A965C6">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5E86EC88" w14:textId="77777777" w:rsidR="00A965C6" w:rsidRDefault="00B17873">
            <w:pPr>
              <w:spacing w:before="120" w:after="120" w:line="276" w:lineRule="auto"/>
              <w:rPr>
                <w:rFonts w:ascii="Arial" w:hAnsi="Arial" w:cs="Arial"/>
                <w:bCs/>
                <w:sz w:val="20"/>
              </w:rPr>
            </w:pPr>
            <w:hyperlink r:id="rId13" w:history="1">
              <w:r w:rsidR="00A965C6">
                <w:rPr>
                  <w:rStyle w:val="Hyperlink"/>
                  <w:rFonts w:ascii="Arial" w:hAnsi="Arial"/>
                  <w:bCs/>
                  <w:sz w:val="20"/>
                </w:rPr>
                <w:t>www.we-online.com</w:t>
              </w:r>
            </w:hyperlink>
            <w:r w:rsidR="00A965C6">
              <w:rPr>
                <w:rFonts w:ascii="Arial" w:hAnsi="Arial"/>
                <w:bCs/>
                <w:sz w:val="20"/>
              </w:rPr>
              <w:t xml:space="preserve"> </w:t>
            </w:r>
          </w:p>
        </w:tc>
        <w:tc>
          <w:tcPr>
            <w:tcW w:w="3193" w:type="dxa"/>
            <w:hideMark/>
          </w:tcPr>
          <w:p w14:paraId="792D08B3" w14:textId="77777777" w:rsidR="00A965C6" w:rsidRDefault="00A965C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FB3BF6D" w14:textId="77777777" w:rsidR="00A965C6" w:rsidRDefault="00A965C6">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DC390F0" w14:textId="77777777" w:rsidR="00A965C6" w:rsidRDefault="00A965C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29C26F3" w14:textId="77777777" w:rsidR="00A965C6" w:rsidRDefault="00B17873">
            <w:pPr>
              <w:tabs>
                <w:tab w:val="left" w:pos="1065"/>
              </w:tabs>
              <w:spacing w:before="120" w:after="120" w:line="276" w:lineRule="auto"/>
              <w:rPr>
                <w:rFonts w:ascii="Arial" w:hAnsi="Arial" w:cs="Arial"/>
                <w:bCs/>
                <w:sz w:val="20"/>
              </w:rPr>
            </w:pPr>
            <w:hyperlink r:id="rId15" w:history="1">
              <w:r w:rsidR="00A965C6">
                <w:rPr>
                  <w:rStyle w:val="Hyperlink"/>
                  <w:rFonts w:ascii="Arial" w:hAnsi="Arial"/>
                  <w:bCs/>
                  <w:sz w:val="20"/>
                </w:rPr>
                <w:t>www.htcm.de</w:t>
              </w:r>
            </w:hyperlink>
            <w:r w:rsidR="00A965C6">
              <w:rPr>
                <w:rFonts w:ascii="Arial" w:hAnsi="Arial"/>
                <w:bCs/>
                <w:sz w:val="20"/>
              </w:rPr>
              <w:t xml:space="preserve">  </w:t>
            </w:r>
          </w:p>
        </w:tc>
      </w:tr>
    </w:tbl>
    <w:p w14:paraId="134DD594" w14:textId="77777777" w:rsidR="00A965C6" w:rsidRPr="000968E4" w:rsidRDefault="00A965C6" w:rsidP="00485E6F">
      <w:pPr>
        <w:pStyle w:val="PITextkrper"/>
        <w:rPr>
          <w:b/>
          <w:bCs/>
          <w:sz w:val="18"/>
          <w:szCs w:val="18"/>
        </w:rPr>
      </w:pPr>
    </w:p>
    <w:sectPr w:rsidR="00A965C6" w:rsidRPr="000968E4" w:rsidSect="00A57F55">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3C615" w14:textId="77777777" w:rsidR="00A57F55" w:rsidRDefault="00A57F55">
      <w:r>
        <w:separator/>
      </w:r>
    </w:p>
  </w:endnote>
  <w:endnote w:type="continuationSeparator" w:id="0">
    <w:p w14:paraId="30A5D6BF" w14:textId="77777777" w:rsidR="00A57F55" w:rsidRDefault="00A5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0F5CFC1" w:rsidR="00D84800" w:rsidRPr="00D8327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D8327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772B8">
      <w:rPr>
        <w:rFonts w:ascii="Arial" w:hAnsi="Arial" w:cs="Arial"/>
        <w:noProof/>
        <w:snapToGrid w:val="0"/>
        <w:sz w:val="16"/>
      </w:rPr>
      <w:t>WTH1PI1443</w:t>
    </w:r>
    <w:r w:rsidRPr="00A74816">
      <w:rPr>
        <w:rFonts w:ascii="Arial" w:hAnsi="Arial" w:cs="Arial"/>
        <w:snapToGrid w:val="0"/>
        <w:sz w:val="16"/>
      </w:rPr>
      <w:fldChar w:fldCharType="end"/>
    </w:r>
    <w:r w:rsidR="00283514">
      <w:rPr>
        <w:rFonts w:ascii="Arial" w:hAnsi="Arial" w:cs="Arial"/>
        <w:snapToGrid w:val="0"/>
        <w:sz w:val="16"/>
      </w:rPr>
      <w:t>_en.docx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55A0" w14:textId="77777777" w:rsidR="00A57F55" w:rsidRDefault="00A57F55">
      <w:r>
        <w:separator/>
      </w:r>
    </w:p>
  </w:footnote>
  <w:footnote w:type="continuationSeparator" w:id="0">
    <w:p w14:paraId="29C1DC10" w14:textId="77777777" w:rsidR="00A57F55" w:rsidRDefault="00A5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62EFA52A" w:rsidR="00AD41FF" w:rsidRDefault="00FF1A4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CEB1E2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968E4"/>
    <w:rsid w:val="000A09B0"/>
    <w:rsid w:val="000A13E8"/>
    <w:rsid w:val="000A486B"/>
    <w:rsid w:val="000A70FF"/>
    <w:rsid w:val="000B28AB"/>
    <w:rsid w:val="000B4E60"/>
    <w:rsid w:val="000B56A3"/>
    <w:rsid w:val="000B59CE"/>
    <w:rsid w:val="000B6091"/>
    <w:rsid w:val="000B6B5A"/>
    <w:rsid w:val="000B6F5F"/>
    <w:rsid w:val="000C23E9"/>
    <w:rsid w:val="000C3740"/>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2A00"/>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BE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514"/>
    <w:rsid w:val="0028487E"/>
    <w:rsid w:val="00285B8D"/>
    <w:rsid w:val="002872A3"/>
    <w:rsid w:val="00287AE5"/>
    <w:rsid w:val="00290518"/>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4990"/>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4290"/>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965F8"/>
    <w:rsid w:val="004A4093"/>
    <w:rsid w:val="004B0A52"/>
    <w:rsid w:val="004B2DAD"/>
    <w:rsid w:val="004B3468"/>
    <w:rsid w:val="004B4EB2"/>
    <w:rsid w:val="004B5236"/>
    <w:rsid w:val="004B5422"/>
    <w:rsid w:val="004B5E02"/>
    <w:rsid w:val="004C2963"/>
    <w:rsid w:val="004C4379"/>
    <w:rsid w:val="004D6CCC"/>
    <w:rsid w:val="004D7301"/>
    <w:rsid w:val="004D78E8"/>
    <w:rsid w:val="004E3A3C"/>
    <w:rsid w:val="004E582D"/>
    <w:rsid w:val="004F1218"/>
    <w:rsid w:val="004F387D"/>
    <w:rsid w:val="004F4AB5"/>
    <w:rsid w:val="004F4C9D"/>
    <w:rsid w:val="004F7F5C"/>
    <w:rsid w:val="00500C86"/>
    <w:rsid w:val="005010F7"/>
    <w:rsid w:val="00502845"/>
    <w:rsid w:val="00505509"/>
    <w:rsid w:val="00505827"/>
    <w:rsid w:val="00512F9E"/>
    <w:rsid w:val="005133F8"/>
    <w:rsid w:val="00516D0B"/>
    <w:rsid w:val="005236AB"/>
    <w:rsid w:val="00525673"/>
    <w:rsid w:val="00525AEC"/>
    <w:rsid w:val="005304E1"/>
    <w:rsid w:val="00530FC0"/>
    <w:rsid w:val="005327C7"/>
    <w:rsid w:val="005331A3"/>
    <w:rsid w:val="00535659"/>
    <w:rsid w:val="00537CB9"/>
    <w:rsid w:val="005405B1"/>
    <w:rsid w:val="005421CB"/>
    <w:rsid w:val="00546618"/>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1EFC"/>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BDA"/>
    <w:rsid w:val="00740F24"/>
    <w:rsid w:val="00754F0B"/>
    <w:rsid w:val="00755485"/>
    <w:rsid w:val="00755F6F"/>
    <w:rsid w:val="0076035C"/>
    <w:rsid w:val="00760B15"/>
    <w:rsid w:val="00760F61"/>
    <w:rsid w:val="0076179A"/>
    <w:rsid w:val="00764EC4"/>
    <w:rsid w:val="00766B74"/>
    <w:rsid w:val="007708B8"/>
    <w:rsid w:val="00770BBE"/>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1ADF"/>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26A0"/>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06"/>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8F7E98"/>
    <w:rsid w:val="0090072E"/>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4EA"/>
    <w:rsid w:val="00956D90"/>
    <w:rsid w:val="00962AC6"/>
    <w:rsid w:val="00962D50"/>
    <w:rsid w:val="009634CA"/>
    <w:rsid w:val="00964C14"/>
    <w:rsid w:val="00965C15"/>
    <w:rsid w:val="00966927"/>
    <w:rsid w:val="00970AA9"/>
    <w:rsid w:val="00970F7F"/>
    <w:rsid w:val="00976FA7"/>
    <w:rsid w:val="009778D0"/>
    <w:rsid w:val="00977E34"/>
    <w:rsid w:val="0098005C"/>
    <w:rsid w:val="009804E8"/>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318"/>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57F55"/>
    <w:rsid w:val="00A60418"/>
    <w:rsid w:val="00A62D29"/>
    <w:rsid w:val="00A647F2"/>
    <w:rsid w:val="00A64AE9"/>
    <w:rsid w:val="00A66985"/>
    <w:rsid w:val="00A7329B"/>
    <w:rsid w:val="00A74816"/>
    <w:rsid w:val="00A74CDC"/>
    <w:rsid w:val="00A75C82"/>
    <w:rsid w:val="00A75EFD"/>
    <w:rsid w:val="00A772B8"/>
    <w:rsid w:val="00A80C24"/>
    <w:rsid w:val="00A91A29"/>
    <w:rsid w:val="00A91EF8"/>
    <w:rsid w:val="00A95843"/>
    <w:rsid w:val="00A965C6"/>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4D0D"/>
    <w:rsid w:val="00B165B0"/>
    <w:rsid w:val="00B17873"/>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57682"/>
    <w:rsid w:val="00B61AE2"/>
    <w:rsid w:val="00B66573"/>
    <w:rsid w:val="00B6690A"/>
    <w:rsid w:val="00B67314"/>
    <w:rsid w:val="00B8501E"/>
    <w:rsid w:val="00B911CF"/>
    <w:rsid w:val="00B93555"/>
    <w:rsid w:val="00B945A9"/>
    <w:rsid w:val="00B94DAE"/>
    <w:rsid w:val="00B9589D"/>
    <w:rsid w:val="00BA04FB"/>
    <w:rsid w:val="00BA19ED"/>
    <w:rsid w:val="00BA2BD7"/>
    <w:rsid w:val="00BB741C"/>
    <w:rsid w:val="00BC1F54"/>
    <w:rsid w:val="00BC356F"/>
    <w:rsid w:val="00BC6C97"/>
    <w:rsid w:val="00BD0BC8"/>
    <w:rsid w:val="00BD2843"/>
    <w:rsid w:val="00BD2B26"/>
    <w:rsid w:val="00BD5EAF"/>
    <w:rsid w:val="00BE5C1A"/>
    <w:rsid w:val="00BE6829"/>
    <w:rsid w:val="00BE7ED0"/>
    <w:rsid w:val="00BF09CC"/>
    <w:rsid w:val="00C10188"/>
    <w:rsid w:val="00C17CED"/>
    <w:rsid w:val="00C279D5"/>
    <w:rsid w:val="00C351B8"/>
    <w:rsid w:val="00C36DFB"/>
    <w:rsid w:val="00C40959"/>
    <w:rsid w:val="00C437CE"/>
    <w:rsid w:val="00C43E68"/>
    <w:rsid w:val="00C500C5"/>
    <w:rsid w:val="00C537A3"/>
    <w:rsid w:val="00C5688B"/>
    <w:rsid w:val="00C63D8C"/>
    <w:rsid w:val="00C645F4"/>
    <w:rsid w:val="00C70245"/>
    <w:rsid w:val="00C71265"/>
    <w:rsid w:val="00C7439C"/>
    <w:rsid w:val="00C8403A"/>
    <w:rsid w:val="00C84CC2"/>
    <w:rsid w:val="00C87944"/>
    <w:rsid w:val="00C9372B"/>
    <w:rsid w:val="00C9434E"/>
    <w:rsid w:val="00CB06BF"/>
    <w:rsid w:val="00CB56BA"/>
    <w:rsid w:val="00CB6417"/>
    <w:rsid w:val="00CB765C"/>
    <w:rsid w:val="00CC1740"/>
    <w:rsid w:val="00CC1D85"/>
    <w:rsid w:val="00CC278B"/>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275"/>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0EAF"/>
    <w:rsid w:val="00DE5AA0"/>
    <w:rsid w:val="00DE632D"/>
    <w:rsid w:val="00DE7025"/>
    <w:rsid w:val="00DF083B"/>
    <w:rsid w:val="00DF3657"/>
    <w:rsid w:val="00DF4A9A"/>
    <w:rsid w:val="00DF5ACA"/>
    <w:rsid w:val="00E041C8"/>
    <w:rsid w:val="00E06AE9"/>
    <w:rsid w:val="00E13FF1"/>
    <w:rsid w:val="00E14FFB"/>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87C88"/>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1A49"/>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05399A95-80B0-4E52-9D8B-AD20E06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B93555"/>
    <w:pPr>
      <w:spacing w:before="100" w:beforeAutospacing="1" w:after="100" w:afterAutospacing="1"/>
    </w:pPr>
  </w:style>
  <w:style w:type="character" w:customStyle="1" w:styleId="cf01">
    <w:name w:val="cf01"/>
    <w:basedOn w:val="Absatz-Standardschriftart"/>
    <w:rsid w:val="00B935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103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7699254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3560843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824840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364245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5877925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2607662">
      <w:bodyDiv w:val="1"/>
      <w:marLeft w:val="0"/>
      <w:marRight w:val="0"/>
      <w:marTop w:val="0"/>
      <w:marBottom w:val="0"/>
      <w:divBdr>
        <w:top w:val="none" w:sz="0" w:space="0" w:color="auto"/>
        <w:left w:val="none" w:sz="0" w:space="0" w:color="auto"/>
        <w:bottom w:val="none" w:sz="0" w:space="0" w:color="auto"/>
        <w:right w:val="none" w:sz="0" w:space="0" w:color="auto"/>
      </w:divBdr>
    </w:div>
    <w:div w:id="196831627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XHMI"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Brigitte Basilio</cp:lastModifiedBy>
  <cp:revision>3</cp:revision>
  <cp:lastPrinted>2017-06-23T08:32:00Z</cp:lastPrinted>
  <dcterms:created xsi:type="dcterms:W3CDTF">2024-05-23T13:01:00Z</dcterms:created>
  <dcterms:modified xsi:type="dcterms:W3CDTF">2024-05-27T14:28:00Z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