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B2F1" w14:textId="77777777" w:rsidR="00197F99" w:rsidRDefault="0055310E">
      <w:pPr>
        <w:pStyle w:val="berschrift1"/>
        <w:spacing w:before="720" w:after="720" w:line="260" w:lineRule="exact"/>
        <w:rPr>
          <w:sz w:val="20"/>
        </w:rPr>
      </w:pPr>
      <w:r>
        <w:rPr>
          <w:sz w:val="20"/>
        </w:rPr>
        <w:t>COMUNICADO DE PRENSA</w:t>
      </w:r>
    </w:p>
    <w:p w14:paraId="4AA1909B" w14:textId="77777777" w:rsidR="00197F99" w:rsidRDefault="0055310E">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serie de transformadores de señal para grandes sistemas de almacenamiento de energía y SAI</w:t>
      </w:r>
    </w:p>
    <w:p w14:paraId="333567F8" w14:textId="77777777" w:rsidR="00197F99" w:rsidRDefault="0055310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Máximo aislamiento para sistemas de gestión de baterías</w:t>
      </w:r>
    </w:p>
    <w:p w14:paraId="22E270E2" w14:textId="697D87E2" w:rsidR="00197F99" w:rsidRDefault="0055310E">
      <w:pPr>
        <w:pStyle w:val="Textkrper"/>
        <w:spacing w:before="120" w:after="120" w:line="260" w:lineRule="exact"/>
        <w:jc w:val="both"/>
        <w:rPr>
          <w:rFonts w:ascii="Arial" w:hAnsi="Arial"/>
          <w:color w:val="000000"/>
        </w:rPr>
      </w:pPr>
      <w:r>
        <w:rPr>
          <w:rFonts w:ascii="Arial" w:hAnsi="Arial"/>
          <w:color w:val="000000"/>
        </w:rPr>
        <w:t>Waldenburg (Alemania), 9</w:t>
      </w:r>
      <w:r>
        <w:rPr>
          <w:rFonts w:ascii="Arial" w:hAnsi="Arial"/>
          <w:color w:val="000000"/>
        </w:rPr>
        <w:t xml:space="preserve"> de abril</w:t>
      </w:r>
      <w:r>
        <w:rPr>
          <w:rFonts w:ascii="Arial" w:hAnsi="Arial"/>
          <w:color w:val="000000"/>
        </w:rPr>
        <w:t xml:space="preserve"> </w:t>
      </w:r>
      <w:r>
        <w:rPr>
          <w:rFonts w:ascii="Arial" w:hAnsi="Arial"/>
          <w:color w:val="000000"/>
        </w:rPr>
        <w:t xml:space="preserve">de 2024 – Würth Elektronik amplía su serie de transformadores </w:t>
      </w:r>
      <w:r>
        <w:fldChar w:fldCharType="begin"/>
      </w:r>
      <w:r>
        <w:instrText>HYPERLINK "https://www.we-online.com/en/components/products/WE-BMS?s="</w:instrText>
      </w:r>
      <w:r>
        <w:fldChar w:fldCharType="separate"/>
      </w:r>
      <w:r>
        <w:rPr>
          <w:rStyle w:val="Hyperlink"/>
          <w:rFonts w:ascii="Arial" w:hAnsi="Arial"/>
        </w:rPr>
        <w:t>WE-BMS</w:t>
      </w:r>
      <w:r>
        <w:rPr>
          <w:rStyle w:val="Hyperlink"/>
          <w:rFonts w:ascii="Arial" w:hAnsi="Arial"/>
        </w:rPr>
        <w:fldChar w:fldCharType="end"/>
      </w:r>
      <w:r>
        <w:rPr>
          <w:rFonts w:ascii="Arial" w:hAnsi="Arial"/>
          <w:color w:val="000000"/>
        </w:rPr>
        <w:t xml:space="preserve"> para sistemas de gestión de baterías con versiones para una tensión de servicio de 1500 V</w:t>
      </w:r>
      <w:r>
        <w:rPr>
          <w:rFonts w:ascii="Arial" w:hAnsi="Arial"/>
          <w:color w:val="000000"/>
          <w:vertAlign w:val="subscript"/>
        </w:rPr>
        <w:t>DC</w:t>
      </w:r>
      <w:r>
        <w:rPr>
          <w:rFonts w:ascii="Arial" w:hAnsi="Arial"/>
          <w:color w:val="000000"/>
        </w:rPr>
        <w:t>. El diseño de los</w:t>
      </w:r>
      <w:r>
        <w:rPr>
          <w:rFonts w:ascii="Arial" w:hAnsi="Arial"/>
          <w:color w:val="000000"/>
        </w:rPr>
        <w:t>componentes se caracteriza por un aislamiento reforzado según IEC </w:t>
      </w:r>
      <w:r>
        <w:rPr>
          <w:rFonts w:ascii="Arial" w:hAnsi="Arial"/>
          <w:color w:val="000000"/>
        </w:rPr>
        <w:t>62368-1 con cable de triple aislamiento (lado primario y secundario), así como por un aislamiento galvánico y una tensión de prueba de 6400 V</w:t>
      </w:r>
      <w:r>
        <w:rPr>
          <w:rFonts w:ascii="Arial" w:hAnsi="Arial"/>
          <w:color w:val="000000"/>
          <w:vertAlign w:val="subscript"/>
        </w:rPr>
        <w:t>DC</w:t>
      </w:r>
      <w:r>
        <w:rPr>
          <w:rFonts w:ascii="Arial" w:hAnsi="Arial"/>
          <w:color w:val="000000"/>
        </w:rPr>
        <w:t xml:space="preserve">. Todo ello hace que los nuevos modelos de la serie sean ideales para su uso en grandes sistemas </w:t>
      </w:r>
      <w:r>
        <w:rPr>
          <w:rFonts w:ascii="Arial" w:hAnsi="Arial"/>
          <w:color w:val="000000"/>
        </w:rPr>
        <w:t xml:space="preserve">de almacenamiento de energía </w:t>
      </w:r>
      <w:r>
        <w:rPr>
          <w:rFonts w:ascii="Arial" w:hAnsi="Arial"/>
          <w:color w:val="000000"/>
        </w:rPr>
        <w:t>tanto para</w:t>
      </w:r>
      <w:r>
        <w:rPr>
          <w:rFonts w:ascii="Arial" w:hAnsi="Arial"/>
          <w:color w:val="000000"/>
        </w:rPr>
        <w:t xml:space="preserve"> aerogeneradores </w:t>
      </w:r>
      <w:r>
        <w:rPr>
          <w:rFonts w:ascii="Arial" w:hAnsi="Arial"/>
          <w:color w:val="000000"/>
        </w:rPr>
        <w:t>como para</w:t>
      </w:r>
      <w:r>
        <w:rPr>
          <w:rFonts w:ascii="Arial" w:hAnsi="Arial"/>
          <w:color w:val="000000"/>
        </w:rPr>
        <w:t xml:space="preserve"> instalaciones fotovoltaicas, en sistemas de almacenamiento intermedio de estaciones de carga de alta potencia para </w:t>
      </w:r>
      <w:r>
        <w:rPr>
          <w:rFonts w:ascii="Arial" w:hAnsi="Arial"/>
          <w:color w:val="000000"/>
        </w:rPr>
        <w:t>balancear</w:t>
      </w:r>
      <w:r>
        <w:rPr>
          <w:rFonts w:ascii="Arial" w:hAnsi="Arial"/>
          <w:color w:val="000000"/>
        </w:rPr>
        <w:t xml:space="preserve"> picos de carga o también en infraestructuras críticas para sistemas de alimentación ininterrumpida.</w:t>
      </w:r>
    </w:p>
    <w:p w14:paraId="64115522" w14:textId="0161785D" w:rsidR="00197F99" w:rsidRDefault="0055310E">
      <w:pPr>
        <w:pStyle w:val="Textkrper"/>
        <w:spacing w:before="120" w:after="120" w:line="260" w:lineRule="exact"/>
        <w:jc w:val="both"/>
        <w:rPr>
          <w:rFonts w:ascii="Arial" w:hAnsi="Arial"/>
          <w:b w:val="0"/>
          <w:bCs w:val="0"/>
        </w:rPr>
      </w:pPr>
      <w:r>
        <w:rPr>
          <w:rFonts w:ascii="Arial" w:hAnsi="Arial"/>
          <w:b w:val="0"/>
          <w:color w:val="000000"/>
        </w:rPr>
        <w:t xml:space="preserve">Los sistemas de gestión de baterías garantizan el funcionamiento seguro de los conjuntos de batería y facilitan información sobre el estado de la batería y de la carga. Al igual que las celdas, los </w:t>
      </w:r>
      <w:r>
        <w:rPr>
          <w:rFonts w:ascii="Arial" w:hAnsi="Arial"/>
          <w:b w:val="0"/>
          <w:color w:val="000000"/>
        </w:rPr>
        <w:t>c</w:t>
      </w:r>
      <w:r>
        <w:rPr>
          <w:rFonts w:ascii="Arial" w:hAnsi="Arial"/>
          <w:b w:val="0"/>
          <w:color w:val="000000"/>
        </w:rPr>
        <w:t xml:space="preserve">ontroladores BMS también se conectan en serie. Dado que pueden producirse diferencias de tensión e interferencias electromagnéticas entre los componentes conectados en serie, un transformador BMS ayuda a aislar los componentes entre sí y a suprimir las interferencias. Las nuevas incorporaciones en la serie de transformadores BMS de Würth Elektronik lo garantizan incluso en sistemas con una alta tensión de </w:t>
      </w:r>
      <w:r>
        <w:rPr>
          <w:rFonts w:ascii="Arial" w:hAnsi="Arial"/>
          <w:b w:val="0"/>
          <w:color w:val="000000"/>
        </w:rPr>
        <w:t>trabajo</w:t>
      </w:r>
      <w:r>
        <w:rPr>
          <w:rFonts w:ascii="Arial" w:hAnsi="Arial"/>
          <w:b w:val="0"/>
          <w:color w:val="000000"/>
        </w:rPr>
        <w:t xml:space="preserve"> de hasta 1500 </w:t>
      </w:r>
      <w:r>
        <w:rPr>
          <w:rFonts w:ascii="Arial" w:hAnsi="Arial"/>
          <w:b w:val="0"/>
        </w:rPr>
        <w:t>V</w:t>
      </w:r>
      <w:r>
        <w:rPr>
          <w:rFonts w:ascii="Arial" w:hAnsi="Arial"/>
          <w:b w:val="0"/>
          <w:vertAlign w:val="subscript"/>
        </w:rPr>
        <w:t>DC</w:t>
      </w:r>
      <w:r>
        <w:rPr>
          <w:rFonts w:ascii="Arial" w:hAnsi="Arial"/>
          <w:b w:val="0"/>
        </w:rPr>
        <w:t>. La durabilidad del aislamiento reforzado de los módulos según IEC </w:t>
      </w:r>
      <w:r>
        <w:rPr>
          <w:rFonts w:ascii="Arial" w:hAnsi="Arial"/>
          <w:b w:val="0"/>
        </w:rPr>
        <w:t>62368-1 se comprobó con la prueba de descarga parcial conforme a IEC </w:t>
      </w:r>
      <w:r>
        <w:rPr>
          <w:rFonts w:ascii="Arial" w:hAnsi="Arial"/>
          <w:b w:val="0"/>
        </w:rPr>
        <w:t xml:space="preserve">60664-1. </w:t>
      </w:r>
    </w:p>
    <w:p w14:paraId="07FBDAB0" w14:textId="77777777" w:rsidR="00197F99" w:rsidRDefault="0055310E">
      <w:pPr>
        <w:pStyle w:val="Textkrper"/>
        <w:spacing w:before="120" w:after="120" w:line="260" w:lineRule="exact"/>
        <w:jc w:val="both"/>
        <w:rPr>
          <w:rFonts w:ascii="Arial" w:hAnsi="Arial"/>
          <w:b w:val="0"/>
          <w:bCs w:val="0"/>
          <w:color w:val="000000"/>
        </w:rPr>
      </w:pPr>
      <w:r>
        <w:rPr>
          <w:rFonts w:ascii="Arial" w:hAnsi="Arial"/>
          <w:b w:val="0"/>
        </w:rPr>
        <w:t xml:space="preserve">Los transformadores para sistemas de gestión de baterías </w:t>
      </w:r>
      <w:r>
        <w:rPr>
          <w:rFonts w:ascii="Arial" w:hAnsi="Arial"/>
          <w:b w:val="0"/>
          <w:color w:val="000000"/>
        </w:rPr>
        <w:t>ya están disponibles en stock sin cantidad mínima de pedido.</w:t>
      </w:r>
    </w:p>
    <w:p w14:paraId="6401438A" w14:textId="77777777" w:rsidR="00197F99" w:rsidRDefault="00197F99">
      <w:pPr>
        <w:pStyle w:val="Textkrper"/>
        <w:spacing w:before="120" w:after="120" w:line="260" w:lineRule="exact"/>
        <w:jc w:val="both"/>
        <w:rPr>
          <w:rFonts w:ascii="Arial" w:hAnsi="Arial"/>
          <w:color w:val="000000"/>
        </w:rPr>
      </w:pPr>
    </w:p>
    <w:p w14:paraId="1F88E86A" w14:textId="77777777" w:rsidR="00197F99" w:rsidRDefault="00197F99">
      <w:pPr>
        <w:pStyle w:val="Textkrper"/>
        <w:spacing w:before="120" w:after="120" w:line="260" w:lineRule="exact"/>
        <w:jc w:val="both"/>
        <w:rPr>
          <w:rFonts w:ascii="Arial" w:hAnsi="Arial"/>
          <w:b w:val="0"/>
          <w:bCs w:val="0"/>
        </w:rPr>
      </w:pPr>
    </w:p>
    <w:p w14:paraId="3C9D8F70" w14:textId="77777777" w:rsidR="0055310E" w:rsidRPr="00163BBC" w:rsidRDefault="0055310E" w:rsidP="0055310E">
      <w:pPr>
        <w:pStyle w:val="PITextkrper"/>
        <w:pBdr>
          <w:top w:val="single" w:sz="4" w:space="1" w:color="auto"/>
        </w:pBdr>
        <w:spacing w:before="240"/>
        <w:rPr>
          <w:b/>
          <w:sz w:val="18"/>
          <w:szCs w:val="18"/>
          <w:lang w:val="de-DE"/>
        </w:rPr>
      </w:pPr>
      <w:bookmarkStart w:id="0" w:name="_Hlk155794207"/>
    </w:p>
    <w:p w14:paraId="03949E39" w14:textId="77777777" w:rsidR="0055310E" w:rsidRPr="00735520" w:rsidRDefault="0055310E" w:rsidP="0055310E">
      <w:pPr>
        <w:spacing w:after="120" w:line="280" w:lineRule="exact"/>
        <w:rPr>
          <w:rFonts w:ascii="Arial" w:hAnsi="Arial" w:cs="Arial"/>
          <w:b/>
          <w:bCs/>
          <w:sz w:val="18"/>
          <w:szCs w:val="18"/>
        </w:rPr>
      </w:pPr>
      <w:r w:rsidRPr="00735520">
        <w:rPr>
          <w:rFonts w:ascii="Arial" w:hAnsi="Arial"/>
          <w:b/>
          <w:sz w:val="18"/>
        </w:rPr>
        <w:t>Imágenes disponibles</w:t>
      </w:r>
    </w:p>
    <w:p w14:paraId="77869EB6" w14:textId="77777777" w:rsidR="0055310E" w:rsidRPr="00735520" w:rsidRDefault="0055310E" w:rsidP="0055310E">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bookmarkEnd w:id="0"/>
    <w:p w14:paraId="2458919A" w14:textId="77777777" w:rsidR="00197F99" w:rsidRDefault="00197F99">
      <w:pPr>
        <w:spacing w:after="120" w:line="280" w:lineRule="exact"/>
        <w:rPr>
          <w:rFonts w:ascii="Arial" w:hAnsi="Arial" w:cs="Arial"/>
          <w:sz w:val="18"/>
          <w:szCs w:val="18"/>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197F99" w14:paraId="4CF191E5" w14:textId="77777777" w:rsidTr="0055310E">
        <w:trPr>
          <w:trHeight w:val="1701"/>
        </w:trPr>
        <w:tc>
          <w:tcPr>
            <w:tcW w:w="3577" w:type="dxa"/>
          </w:tcPr>
          <w:p w14:paraId="74D69802" w14:textId="77777777" w:rsidR="00197F99" w:rsidRDefault="0055310E">
            <w:pPr>
              <w:pStyle w:val="txt"/>
              <w:rPr>
                <w:b/>
                <w:bCs/>
                <w:sz w:val="18"/>
              </w:rPr>
            </w:pPr>
            <w:r>
              <w:rPr>
                <w:b/>
              </w:rPr>
              <w:lastRenderedPageBreak/>
              <w:br/>
            </w:r>
            <w:r>
              <w:rPr>
                <w:noProof/>
                <w:lang w:eastAsia="zh-TW"/>
              </w:rPr>
              <w:drawing>
                <wp:inline distT="0" distB="0" distL="0" distR="0" wp14:anchorId="6BD781C0" wp14:editId="45998787">
                  <wp:extent cx="2133600" cy="1847850"/>
                  <wp:effectExtent l="0" t="0" r="0" b="0"/>
                  <wp:docPr id="187825986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6697" b="6697"/>
                          <a:stretch>
                            <a:fillRect/>
                          </a:stretch>
                        </pic:blipFill>
                        <pic:spPr bwMode="auto">
                          <a:xfrm>
                            <a:off x="0" y="0"/>
                            <a:ext cx="2133600" cy="1847850"/>
                          </a:xfrm>
                          <a:prstGeom prst="rect">
                            <a:avLst/>
                          </a:prstGeom>
                          <a:noFill/>
                          <a:ln>
                            <a:noFill/>
                          </a:ln>
                        </pic:spPr>
                      </pic:pic>
                    </a:graphicData>
                  </a:graphic>
                </wp:inline>
              </w:drawing>
            </w:r>
            <w:r>
              <w:rPr>
                <w:b/>
              </w:rPr>
              <w:br/>
            </w:r>
            <w:r>
              <w:rPr>
                <w:sz w:val="16"/>
              </w:rPr>
              <w:t xml:space="preserve">Fuente de la imagen: Würth Elektronik </w:t>
            </w:r>
          </w:p>
          <w:p w14:paraId="67928779" w14:textId="7B69E6A2" w:rsidR="00197F99" w:rsidRDefault="0055310E">
            <w:pPr>
              <w:autoSpaceDE w:val="0"/>
              <w:autoSpaceDN w:val="0"/>
              <w:adjustRightInd w:val="0"/>
              <w:rPr>
                <w:rFonts w:ascii="Arial" w:hAnsi="Arial" w:cs="Arial"/>
                <w:b/>
                <w:sz w:val="18"/>
                <w:szCs w:val="18"/>
              </w:rPr>
            </w:pPr>
            <w:r>
              <w:rPr>
                <w:rFonts w:ascii="Arial" w:hAnsi="Arial"/>
                <w:b/>
                <w:sz w:val="18"/>
              </w:rPr>
              <w:t xml:space="preserve">Los transformadores de señal WE-BMS ahora están disponibles también para una tensión de </w:t>
            </w:r>
            <w:r>
              <w:rPr>
                <w:rFonts w:ascii="Arial" w:hAnsi="Arial"/>
                <w:b/>
                <w:sz w:val="18"/>
              </w:rPr>
              <w:t>trabajo</w:t>
            </w:r>
            <w:r>
              <w:rPr>
                <w:rFonts w:ascii="Arial" w:hAnsi="Arial"/>
                <w:b/>
                <w:sz w:val="18"/>
              </w:rPr>
              <w:t xml:space="preserve"> de 1500 V</w:t>
            </w:r>
            <w:r>
              <w:rPr>
                <w:rFonts w:ascii="Arial" w:hAnsi="Arial"/>
                <w:b/>
                <w:sz w:val="18"/>
                <w:vertAlign w:val="subscript"/>
              </w:rPr>
              <w:t>DC</w:t>
            </w:r>
            <w:r>
              <w:rPr>
                <w:rFonts w:ascii="Arial" w:hAnsi="Arial"/>
                <w:b/>
                <w:sz w:val="18"/>
              </w:rPr>
              <w:t>.</w:t>
            </w:r>
          </w:p>
          <w:p w14:paraId="7B642BCF" w14:textId="77777777" w:rsidR="00197F99" w:rsidRDefault="00197F99">
            <w:pPr>
              <w:autoSpaceDE w:val="0"/>
              <w:autoSpaceDN w:val="0"/>
              <w:adjustRightInd w:val="0"/>
              <w:rPr>
                <w:rFonts w:ascii="Arial" w:hAnsi="Arial" w:cs="Arial"/>
                <w:b/>
                <w:bCs/>
                <w:sz w:val="18"/>
                <w:szCs w:val="18"/>
              </w:rPr>
            </w:pPr>
          </w:p>
        </w:tc>
      </w:tr>
    </w:tbl>
    <w:p w14:paraId="6A76D508" w14:textId="77777777" w:rsidR="00197F99" w:rsidRDefault="00197F99">
      <w:pPr>
        <w:pStyle w:val="PITextkrper"/>
        <w:rPr>
          <w:b/>
          <w:bCs/>
          <w:sz w:val="18"/>
          <w:szCs w:val="18"/>
        </w:rPr>
      </w:pPr>
    </w:p>
    <w:p w14:paraId="4EC5CC21" w14:textId="77777777" w:rsidR="0055310E" w:rsidRPr="00735520" w:rsidRDefault="0055310E" w:rsidP="0055310E">
      <w:pPr>
        <w:pStyle w:val="Textkrper"/>
        <w:spacing w:before="120" w:after="120" w:line="260" w:lineRule="exact"/>
        <w:jc w:val="both"/>
        <w:rPr>
          <w:rFonts w:ascii="Arial" w:hAnsi="Arial"/>
          <w:b w:val="0"/>
          <w:bCs w:val="0"/>
        </w:rPr>
      </w:pPr>
      <w:bookmarkStart w:id="1" w:name="_Hlk155794191"/>
    </w:p>
    <w:p w14:paraId="1534F851" w14:textId="77777777" w:rsidR="0055310E" w:rsidRPr="00735520" w:rsidRDefault="0055310E" w:rsidP="0055310E">
      <w:pPr>
        <w:pStyle w:val="PITextkrper"/>
        <w:pBdr>
          <w:top w:val="single" w:sz="4" w:space="1" w:color="auto"/>
        </w:pBdr>
        <w:spacing w:before="240"/>
        <w:rPr>
          <w:b/>
          <w:sz w:val="18"/>
          <w:szCs w:val="18"/>
        </w:rPr>
      </w:pPr>
    </w:p>
    <w:p w14:paraId="2C26E53D" w14:textId="77777777" w:rsidR="0055310E" w:rsidRPr="00735520" w:rsidRDefault="0055310E" w:rsidP="0055310E">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6B351645" w14:textId="77777777" w:rsidR="0055310E" w:rsidRPr="00735520" w:rsidRDefault="0055310E" w:rsidP="0055310E">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EA44F59" w14:textId="77777777" w:rsidR="0055310E" w:rsidRPr="00735520" w:rsidRDefault="0055310E" w:rsidP="0055310E">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084F3F5" w14:textId="77777777" w:rsidR="0055310E" w:rsidRPr="00735520" w:rsidRDefault="0055310E" w:rsidP="0055310E">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78FC3C2" w14:textId="77777777" w:rsidR="0055310E" w:rsidRPr="00735520" w:rsidRDefault="0055310E" w:rsidP="0055310E">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155EDCC" w14:textId="77777777" w:rsidR="0055310E" w:rsidRPr="00163BBC" w:rsidRDefault="0055310E" w:rsidP="0055310E">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3890A2EC" w14:textId="77777777" w:rsidR="0055310E" w:rsidRPr="00735520" w:rsidRDefault="0055310E" w:rsidP="0055310E">
      <w:pPr>
        <w:pStyle w:val="Textkrper"/>
        <w:spacing w:before="120" w:after="120" w:line="276" w:lineRule="auto"/>
        <w:rPr>
          <w:rFonts w:ascii="Arial" w:hAnsi="Arial"/>
        </w:rPr>
      </w:pPr>
      <w:r w:rsidRPr="00735520">
        <w:rPr>
          <w:rFonts w:ascii="Arial" w:hAnsi="Arial"/>
        </w:rPr>
        <w:t>Más información en www.we-online.com</w:t>
      </w:r>
    </w:p>
    <w:p w14:paraId="1FC6FC39" w14:textId="77777777" w:rsidR="0055310E" w:rsidRPr="00735520" w:rsidRDefault="0055310E" w:rsidP="0055310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5310E" w:rsidRPr="00163BBC" w14:paraId="6C05D0DE" w14:textId="77777777" w:rsidTr="006929D0">
        <w:tc>
          <w:tcPr>
            <w:tcW w:w="3902" w:type="dxa"/>
            <w:hideMark/>
          </w:tcPr>
          <w:p w14:paraId="2FC6CAEF" w14:textId="77777777" w:rsidR="0055310E" w:rsidRPr="00735520" w:rsidRDefault="0055310E" w:rsidP="006929D0">
            <w:pPr>
              <w:pStyle w:val="Textkrper"/>
              <w:autoSpaceDE/>
              <w:adjustRightInd/>
              <w:spacing w:before="120" w:after="120" w:line="276" w:lineRule="auto"/>
              <w:rPr>
                <w:rFonts w:ascii="Arial" w:hAnsi="Arial"/>
                <w:bCs w:val="0"/>
                <w:szCs w:val="24"/>
              </w:rPr>
            </w:pPr>
            <w:r w:rsidRPr="00735520">
              <w:rPr>
                <w:b w:val="0"/>
                <w:bCs w:val="0"/>
              </w:rPr>
              <w:lastRenderedPageBreak/>
              <w:br w:type="page"/>
            </w:r>
            <w:r w:rsidRPr="00735520">
              <w:rPr>
                <w:rFonts w:ascii="Arial" w:hAnsi="Arial"/>
              </w:rPr>
              <w:t>Más información:</w:t>
            </w:r>
          </w:p>
          <w:p w14:paraId="7863FD73" w14:textId="77777777" w:rsidR="0055310E" w:rsidRPr="00735520" w:rsidRDefault="0055310E" w:rsidP="006929D0">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EFF21AF" w14:textId="77777777" w:rsidR="0055310E" w:rsidRPr="00735520" w:rsidRDefault="0055310E" w:rsidP="006929D0">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CBC08A0" w14:textId="77777777" w:rsidR="0055310E" w:rsidRPr="00735520" w:rsidRDefault="0055310E" w:rsidP="006929D0">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4A391A2" w14:textId="77777777" w:rsidR="0055310E" w:rsidRPr="00735520" w:rsidRDefault="0055310E" w:rsidP="006929D0">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216AD79" w14:textId="77777777" w:rsidR="0055310E" w:rsidRPr="00735520" w:rsidRDefault="0055310E" w:rsidP="006929D0">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B09C896" w14:textId="77777777" w:rsidR="0055310E" w:rsidRPr="00735520" w:rsidRDefault="0055310E" w:rsidP="006929D0">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160DCDD" w14:textId="77777777" w:rsidR="0055310E" w:rsidRPr="00735520" w:rsidRDefault="0055310E" w:rsidP="006929D0">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362AB289" w14:textId="77777777" w:rsidR="0055310E" w:rsidRPr="00735520" w:rsidRDefault="0055310E" w:rsidP="0055310E">
      <w:pPr>
        <w:pStyle w:val="Textkrper"/>
        <w:spacing w:before="120" w:after="120" w:line="276" w:lineRule="auto"/>
      </w:pPr>
    </w:p>
    <w:bookmarkEnd w:id="1"/>
    <w:p w14:paraId="1F0FFC2D" w14:textId="77777777" w:rsidR="0055310E" w:rsidRPr="00735520" w:rsidRDefault="0055310E" w:rsidP="0055310E">
      <w:pPr>
        <w:pStyle w:val="Textkrper"/>
        <w:spacing w:before="120" w:after="120" w:line="276" w:lineRule="auto"/>
      </w:pPr>
    </w:p>
    <w:p w14:paraId="59FFEFC7" w14:textId="77777777" w:rsidR="0055310E" w:rsidRPr="0055310E" w:rsidRDefault="0055310E">
      <w:pPr>
        <w:pStyle w:val="PITextkrper"/>
        <w:rPr>
          <w:b/>
          <w:bCs/>
          <w:sz w:val="18"/>
          <w:szCs w:val="18"/>
        </w:rPr>
      </w:pPr>
    </w:p>
    <w:sectPr w:rsidR="0055310E" w:rsidRPr="0055310E">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4F17" w14:textId="77777777" w:rsidR="00197F99" w:rsidRDefault="0055310E">
      <w:r>
        <w:separator/>
      </w:r>
    </w:p>
  </w:endnote>
  <w:endnote w:type="continuationSeparator" w:id="0">
    <w:p w14:paraId="7FD8C006" w14:textId="77777777" w:rsidR="00197F99" w:rsidRDefault="0055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AFBA" w14:textId="77777777" w:rsidR="00197F99" w:rsidRDefault="0055310E">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GB"/>
      </w:rPr>
      <w:t>WTH1PI1452_es.docx</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C0CE" w14:textId="77777777" w:rsidR="00197F99" w:rsidRDefault="0055310E">
      <w:r>
        <w:separator/>
      </w:r>
    </w:p>
  </w:footnote>
  <w:footnote w:type="continuationSeparator" w:id="0">
    <w:p w14:paraId="6300C979" w14:textId="77777777" w:rsidR="00197F99" w:rsidRDefault="0055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52F9" w14:textId="77777777" w:rsidR="00197F99" w:rsidRDefault="0055310E">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6712666" wp14:editId="0DDAE7C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74444">
    <w:abstractNumId w:val="4"/>
  </w:num>
  <w:num w:numId="2" w16cid:durableId="984507584">
    <w:abstractNumId w:val="1"/>
  </w:num>
  <w:num w:numId="3" w16cid:durableId="1650137770">
    <w:abstractNumId w:val="2"/>
  </w:num>
  <w:num w:numId="4" w16cid:durableId="1024136406">
    <w:abstractNumId w:val="3"/>
  </w:num>
  <w:num w:numId="5" w16cid:durableId="184794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F99"/>
    <w:rsid w:val="00197F99"/>
    <w:rsid w:val="005531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79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3AA9-AF0E-44D7-97F9-C9D8744E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3786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2024-03-25T13:36:00Z</dcterms:created>
  <dcterms:modified xsi:type="dcterms:W3CDTF">2024-04-04T13:25:00Z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