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61C0" w14:textId="77777777" w:rsidR="004A75E8" w:rsidRDefault="00C65EBA">
      <w:pPr>
        <w:pStyle w:val="berschrift1"/>
        <w:spacing w:before="720" w:after="720" w:line="260" w:lineRule="exact"/>
        <w:rPr>
          <w:sz w:val="20"/>
        </w:rPr>
      </w:pPr>
      <w:r>
        <w:rPr>
          <w:sz w:val="20"/>
        </w:rPr>
        <w:t>COMMUNIQUÉ DE PRESSE</w:t>
      </w:r>
    </w:p>
    <w:p w14:paraId="11AAC1FE" w14:textId="3080EBEA" w:rsidR="004A75E8" w:rsidRDefault="00C65EB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une note d’application sur les MLCC</w:t>
      </w:r>
    </w:p>
    <w:p w14:paraId="5EE0EC70" w14:textId="77777777" w:rsidR="004A75E8" w:rsidRDefault="00C65EB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Ferroélectricité et comportement tension-capacité</w:t>
      </w:r>
    </w:p>
    <w:p w14:paraId="75DB633E" w14:textId="783EFB32" w:rsidR="004A75E8" w:rsidRDefault="00C65EBA">
      <w:pPr>
        <w:pStyle w:val="Textkrper"/>
        <w:spacing w:before="120" w:after="120" w:line="260" w:lineRule="exact"/>
        <w:jc w:val="both"/>
        <w:rPr>
          <w:rFonts w:ascii="Arial" w:hAnsi="Arial"/>
          <w:color w:val="000000"/>
        </w:rPr>
      </w:pPr>
      <w:r>
        <w:rPr>
          <w:rFonts w:ascii="Arial" w:hAnsi="Arial"/>
          <w:color w:val="000000"/>
        </w:rPr>
        <w:t>Waldenburg</w:t>
      </w:r>
      <w:r w:rsidR="00076B67">
        <w:rPr>
          <w:rFonts w:ascii="Arial" w:hAnsi="Arial"/>
          <w:color w:val="000000"/>
        </w:rPr>
        <w:t xml:space="preserve"> (Allemagne)</w:t>
      </w:r>
      <w:r>
        <w:rPr>
          <w:rFonts w:ascii="Arial" w:hAnsi="Arial"/>
          <w:color w:val="000000"/>
        </w:rPr>
        <w:t xml:space="preserve">, </w:t>
      </w:r>
      <w:r w:rsidR="00117E94">
        <w:rPr>
          <w:rFonts w:ascii="Arial" w:hAnsi="Arial"/>
          <w:color w:val="000000"/>
        </w:rPr>
        <w:t xml:space="preserve">le </w:t>
      </w:r>
      <w:r w:rsidR="00117E94" w:rsidRPr="00117E94">
        <w:rPr>
          <w:rFonts w:ascii="Arial" w:hAnsi="Arial"/>
          <w:color w:val="000000"/>
        </w:rPr>
        <w:t>6 décembre</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a intégré le comportement tension-capacité des </w:t>
      </w:r>
      <w:bookmarkStart w:id="0" w:name="_Hlk141967578"/>
      <w:r>
        <w:rPr>
          <w:rFonts w:ascii="Arial" w:hAnsi="Arial"/>
          <w:color w:val="000000"/>
        </w:rPr>
        <w:t xml:space="preserve">condensateurs céramiques multicouches </w:t>
      </w:r>
      <w:bookmarkEnd w:id="0"/>
      <w:r>
        <w:rPr>
          <w:rFonts w:ascii="Arial" w:hAnsi="Arial"/>
          <w:color w:val="000000"/>
        </w:rPr>
        <w:t xml:space="preserve">ferroélectriques (MLCC) dans les fichiers </w:t>
      </w:r>
      <w:proofErr w:type="spellStart"/>
      <w:r>
        <w:rPr>
          <w:rFonts w:ascii="Arial" w:hAnsi="Arial"/>
          <w:color w:val="000000"/>
        </w:rPr>
        <w:t>LTspice</w:t>
      </w:r>
      <w:proofErr w:type="spellEnd"/>
      <w:r>
        <w:rPr>
          <w:rFonts w:ascii="Arial" w:hAnsi="Arial"/>
          <w:color w:val="000000"/>
        </w:rPr>
        <w:t xml:space="preserve"> de ses produits. La note d’application « </w:t>
      </w:r>
      <w:hyperlink r:id="rId8" w:history="1">
        <w:r>
          <w:rPr>
            <w:rStyle w:val="Hyperlink"/>
            <w:rFonts w:ascii="Arial" w:hAnsi="Arial"/>
          </w:rPr>
          <w:t>ANP114</w:t>
        </w:r>
      </w:hyperlink>
      <w:r>
        <w:rPr>
          <w:rFonts w:ascii="Arial" w:hAnsi="Arial"/>
          <w:color w:val="000000"/>
        </w:rPr>
        <w:t> » publiée par le fournisseur de composants électroniques et électromécaniques décrit le développement du modèle pour les condensateurs céramiques multicouches ferroélectriques de classe 2, en expliquant leur dépendance à la tension et à la fréquence. L’utilisation des MLCC, par exemple dans les circuits de filtrage, est ainsi considérablement simplifiée pour le designer.</w:t>
      </w:r>
    </w:p>
    <w:p w14:paraId="7C7B4A90" w14:textId="34348FF6" w:rsidR="004A75E8" w:rsidRDefault="00C65EBA">
      <w:pPr>
        <w:pStyle w:val="Textkrper"/>
        <w:spacing w:before="120" w:after="120" w:line="260" w:lineRule="exact"/>
        <w:jc w:val="both"/>
        <w:rPr>
          <w:rFonts w:ascii="Arial" w:hAnsi="Arial"/>
          <w:b w:val="0"/>
          <w:bCs w:val="0"/>
        </w:rPr>
      </w:pPr>
      <w:r>
        <w:rPr>
          <w:rFonts w:ascii="Arial" w:hAnsi="Arial"/>
          <w:b w:val="0"/>
        </w:rPr>
        <w:t>Les condensateurs céramiques multicouches ferroélectriques (MLCC) sont des composants électroniques qui présentent la propriété de ferroélectricité. Ils peuvent maintenir une polarisation électrique stable même en l’absence d’un champ électrique externe et ont donc une capacité qui dépend de la tension. La note d’application donne une explication approfondie de la dépendance en tension et en fréquence des MLCC ferroélectriques. La note d’application commence par une introduction au monde de la ferroélectricité, avant de dériver un modèle mathématique pour le comportement capacité-tension des MLCC à partir d’un modèle de polarisation dipolaire, dans lequel les paramètres du modèle sont réduits à deux paramètres d’ajustement.</w:t>
      </w:r>
    </w:p>
    <w:p w14:paraId="20E87F0F" w14:textId="77777777" w:rsidR="004A75E8" w:rsidRDefault="00C65EBA">
      <w:pPr>
        <w:pStyle w:val="Textkrper"/>
        <w:spacing w:before="120" w:after="120" w:line="260" w:lineRule="exact"/>
        <w:jc w:val="both"/>
        <w:rPr>
          <w:rFonts w:ascii="Arial" w:hAnsi="Arial"/>
        </w:rPr>
      </w:pPr>
      <w:r>
        <w:rPr>
          <w:rFonts w:ascii="Arial" w:hAnsi="Arial"/>
        </w:rPr>
        <w:t>Modèle testé par des mesures</w:t>
      </w:r>
    </w:p>
    <w:p w14:paraId="125F28F6" w14:textId="59D8928B" w:rsidR="004A75E8" w:rsidRDefault="00C65EBA">
      <w:pPr>
        <w:pStyle w:val="Textkrper"/>
        <w:spacing w:before="120" w:after="120" w:line="260" w:lineRule="exact"/>
        <w:jc w:val="both"/>
        <w:rPr>
          <w:rFonts w:ascii="Arial" w:hAnsi="Arial"/>
          <w:b w:val="0"/>
          <w:bCs w:val="0"/>
        </w:rPr>
      </w:pPr>
      <w:r>
        <w:rPr>
          <w:rFonts w:ascii="Arial" w:hAnsi="Arial"/>
          <w:b w:val="0"/>
        </w:rPr>
        <w:t xml:space="preserve">Pour démontrer l’applicabilité pratique, le modèle a été testé par des mesures complètes sur une sélection de MLCC de Würth </w:t>
      </w:r>
      <w:proofErr w:type="spellStart"/>
      <w:r>
        <w:rPr>
          <w:rFonts w:ascii="Arial" w:hAnsi="Arial"/>
          <w:b w:val="0"/>
        </w:rPr>
        <w:t>Elektronik</w:t>
      </w:r>
      <w:proofErr w:type="spellEnd"/>
      <w:r>
        <w:rPr>
          <w:rFonts w:ascii="Arial" w:hAnsi="Arial"/>
          <w:b w:val="0"/>
        </w:rPr>
        <w:t xml:space="preserve">. Comme l’intégrale du modèle capacité-tension ne contient mathématiquement que des expressions trigonométriques de base, elle peut être facilement mise en œuvre dans un logiciel qui nécessite des fonctions de charge au lieu de capacité, comme le logiciel de simulation </w:t>
      </w:r>
      <w:proofErr w:type="spellStart"/>
      <w:r>
        <w:rPr>
          <w:rFonts w:ascii="Arial" w:hAnsi="Arial"/>
          <w:b w:val="0"/>
        </w:rPr>
        <w:t>LTspice</w:t>
      </w:r>
      <w:proofErr w:type="spellEnd"/>
      <w:r>
        <w:rPr>
          <w:rFonts w:ascii="Arial" w:hAnsi="Arial"/>
          <w:b w:val="0"/>
        </w:rPr>
        <w:t>. En outre, il est démontré que le modèle est extrêmement utile pour décrire les spectres de capacité des MLCC à différentes tensions continues.</w:t>
      </w:r>
    </w:p>
    <w:p w14:paraId="67B315EB" w14:textId="77777777" w:rsidR="004A75E8" w:rsidRDefault="00C65EBA">
      <w:pPr>
        <w:pStyle w:val="Textkrper"/>
        <w:spacing w:before="120" w:after="120" w:line="260" w:lineRule="exact"/>
        <w:jc w:val="both"/>
        <w:rPr>
          <w:rFonts w:ascii="Arial" w:hAnsi="Arial"/>
          <w:b w:val="0"/>
        </w:rPr>
      </w:pPr>
      <w:r>
        <w:rPr>
          <w:rFonts w:ascii="Arial" w:hAnsi="Arial"/>
          <w:b w:val="0"/>
        </w:rPr>
        <w:t xml:space="preserve">Sommaire : </w:t>
      </w:r>
    </w:p>
    <w:p w14:paraId="5C5CCD2F"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Introduction à la ferroélectricité des condensateurs</w:t>
      </w:r>
    </w:p>
    <w:p w14:paraId="6F3864BB"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Interprétation des mesures de capacité-tension</w:t>
      </w:r>
    </w:p>
    <w:p w14:paraId="617D3FE9"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Modèle mathématique de la polarisation ferroélectrique</w:t>
      </w:r>
    </w:p>
    <w:p w14:paraId="1D09AFBA"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t>• Mesures expérimentales et conditions limites</w:t>
      </w:r>
    </w:p>
    <w:p w14:paraId="17A7437F" w14:textId="77777777" w:rsidR="004A75E8" w:rsidRDefault="00C65EBA">
      <w:pPr>
        <w:pStyle w:val="Textkrper"/>
        <w:spacing w:before="120" w:after="120" w:line="260" w:lineRule="exact"/>
        <w:ind w:firstLine="708"/>
        <w:jc w:val="both"/>
        <w:rPr>
          <w:rFonts w:ascii="Arial" w:hAnsi="Arial"/>
          <w:b w:val="0"/>
        </w:rPr>
      </w:pPr>
      <w:r>
        <w:rPr>
          <w:rFonts w:ascii="Arial" w:hAnsi="Arial"/>
          <w:b w:val="0"/>
        </w:rPr>
        <w:lastRenderedPageBreak/>
        <w:t>• Mise en œuvre d’un modèle dépendant de la fréquence et de la tension</w:t>
      </w:r>
    </w:p>
    <w:p w14:paraId="06D51936" w14:textId="1263FD3A" w:rsidR="004A75E8" w:rsidRDefault="00C65EBA">
      <w:pPr>
        <w:pStyle w:val="Textkrper"/>
        <w:spacing w:before="120" w:after="120" w:line="260" w:lineRule="exact"/>
        <w:jc w:val="both"/>
        <w:rPr>
          <w:rFonts w:ascii="Arial" w:hAnsi="Arial"/>
          <w:b w:val="0"/>
          <w:bCs w:val="0"/>
        </w:rPr>
      </w:pPr>
      <w:r>
        <w:rPr>
          <w:rFonts w:ascii="Arial" w:hAnsi="Arial"/>
          <w:b w:val="0"/>
        </w:rPr>
        <w:t xml:space="preserve">La note d’application fait partie d’une collection complète de publications sur l’ensemble des questions relatives aux condensateurs céramiques multicouches et peut être téléchargée directement sur l’internet à l’adresse suivante : </w:t>
      </w:r>
      <w:hyperlink r:id="rId9" w:history="1">
        <w:r>
          <w:rPr>
            <w:rStyle w:val="Hyperlink"/>
            <w:rFonts w:ascii="Arial" w:hAnsi="Arial"/>
            <w:b w:val="0"/>
          </w:rPr>
          <w:t>www.we-online.com/ANP114</w:t>
        </w:r>
      </w:hyperlink>
    </w:p>
    <w:p w14:paraId="3834D754" w14:textId="77777777" w:rsidR="004A75E8" w:rsidRDefault="004A75E8">
      <w:pPr>
        <w:pStyle w:val="Textkrper"/>
        <w:spacing w:before="120" w:after="120" w:line="260" w:lineRule="exact"/>
        <w:jc w:val="both"/>
        <w:rPr>
          <w:rFonts w:ascii="Arial" w:hAnsi="Arial"/>
          <w:b w:val="0"/>
          <w:bCs w:val="0"/>
        </w:rPr>
      </w:pPr>
    </w:p>
    <w:p w14:paraId="5E357985" w14:textId="77777777" w:rsidR="004A75E8" w:rsidRDefault="004A75E8">
      <w:pPr>
        <w:pStyle w:val="Textkrper"/>
        <w:spacing w:before="120" w:after="120" w:line="260" w:lineRule="exact"/>
        <w:jc w:val="both"/>
        <w:rPr>
          <w:rFonts w:ascii="Arial" w:hAnsi="Arial"/>
          <w:b w:val="0"/>
          <w:bCs w:val="0"/>
        </w:rPr>
      </w:pPr>
    </w:p>
    <w:p w14:paraId="4483D283" w14:textId="77777777" w:rsidR="004A75E8" w:rsidRDefault="004A75E8">
      <w:pPr>
        <w:pStyle w:val="PITextkrper"/>
        <w:pBdr>
          <w:top w:val="single" w:sz="4" w:space="1" w:color="auto"/>
        </w:pBdr>
        <w:spacing w:before="240"/>
        <w:rPr>
          <w:b/>
          <w:sz w:val="18"/>
          <w:szCs w:val="18"/>
        </w:rPr>
      </w:pPr>
    </w:p>
    <w:p w14:paraId="5542187E" w14:textId="77777777" w:rsidR="00790950" w:rsidRPr="00591131" w:rsidRDefault="00790950" w:rsidP="00790950">
      <w:pPr>
        <w:spacing w:after="120" w:line="280" w:lineRule="exact"/>
        <w:rPr>
          <w:rFonts w:ascii="Arial" w:hAnsi="Arial" w:cs="Arial"/>
          <w:b/>
          <w:bCs/>
          <w:sz w:val="18"/>
          <w:szCs w:val="18"/>
        </w:rPr>
      </w:pPr>
      <w:r w:rsidRPr="00591131">
        <w:rPr>
          <w:rFonts w:ascii="Arial" w:hAnsi="Arial"/>
          <w:b/>
          <w:sz w:val="18"/>
        </w:rPr>
        <w:t>Images disponibles</w:t>
      </w:r>
    </w:p>
    <w:p w14:paraId="63B27E66" w14:textId="77777777" w:rsidR="00790950" w:rsidRPr="00591131" w:rsidRDefault="00790950" w:rsidP="0079095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E500A2">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A75E8" w14:paraId="5518B8DA" w14:textId="77777777">
        <w:trPr>
          <w:trHeight w:val="1701"/>
        </w:trPr>
        <w:tc>
          <w:tcPr>
            <w:tcW w:w="3510" w:type="dxa"/>
          </w:tcPr>
          <w:p w14:paraId="11267C1F" w14:textId="77777777" w:rsidR="004A75E8" w:rsidRDefault="00C65EBA">
            <w:pPr>
              <w:pStyle w:val="txt"/>
              <w:rPr>
                <w:b/>
                <w:bCs/>
                <w:sz w:val="18"/>
              </w:rPr>
            </w:pPr>
            <w:r>
              <w:rPr>
                <w:noProof/>
                <w:lang w:val="en-US" w:eastAsia="zh-CN"/>
              </w:rPr>
              <w:drawing>
                <wp:inline distT="0" distB="0" distL="0" distR="0" wp14:anchorId="15C3C65D" wp14:editId="129DAC77">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0C74772C" w14:textId="319A65B0" w:rsidR="004A75E8" w:rsidRDefault="00C65EBA">
            <w:pPr>
              <w:autoSpaceDE w:val="0"/>
              <w:autoSpaceDN w:val="0"/>
              <w:adjustRightInd w:val="0"/>
              <w:rPr>
                <w:rFonts w:ascii="Arial" w:hAnsi="Arial" w:cs="Arial"/>
                <w:b/>
                <w:sz w:val="18"/>
                <w:szCs w:val="18"/>
              </w:rPr>
            </w:pPr>
            <w:r>
              <w:rPr>
                <w:rFonts w:ascii="Arial" w:hAnsi="Arial"/>
                <w:b/>
                <w:sz w:val="18"/>
              </w:rPr>
              <w:t xml:space="preserve">La note d’application explique les détails de base des fichiers </w:t>
            </w:r>
            <w:proofErr w:type="spellStart"/>
            <w:r>
              <w:rPr>
                <w:rFonts w:ascii="Arial" w:hAnsi="Arial"/>
                <w:b/>
                <w:sz w:val="18"/>
              </w:rPr>
              <w:t>LTspice</w:t>
            </w:r>
            <w:proofErr w:type="spellEnd"/>
          </w:p>
          <w:p w14:paraId="6B0C9884" w14:textId="77777777" w:rsidR="004A75E8" w:rsidRDefault="004A75E8">
            <w:pPr>
              <w:autoSpaceDE w:val="0"/>
              <w:autoSpaceDN w:val="0"/>
              <w:adjustRightInd w:val="0"/>
              <w:rPr>
                <w:rFonts w:ascii="Arial" w:hAnsi="Arial" w:cs="Arial"/>
                <w:b/>
                <w:bCs/>
                <w:sz w:val="18"/>
                <w:szCs w:val="18"/>
              </w:rPr>
            </w:pPr>
          </w:p>
        </w:tc>
        <w:tc>
          <w:tcPr>
            <w:tcW w:w="3510" w:type="dxa"/>
          </w:tcPr>
          <w:p w14:paraId="5D43EF5F" w14:textId="77777777" w:rsidR="004A75E8" w:rsidRDefault="00C65EBA">
            <w:pPr>
              <w:pStyle w:val="txt"/>
              <w:rPr>
                <w:b/>
                <w:bCs/>
                <w:sz w:val="18"/>
              </w:rPr>
            </w:pPr>
            <w:r>
              <w:rPr>
                <w:noProof/>
                <w:lang w:val="en-US" w:eastAsia="zh-CN"/>
              </w:rPr>
              <w:drawing>
                <wp:inline distT="0" distB="0" distL="0" distR="0" wp14:anchorId="45EDFA11" wp14:editId="559F37CA">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1242ED40" w14:textId="77777777" w:rsidR="004A75E8" w:rsidRDefault="00C65EBA">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propose une large gamme de condensateurs céramique multicouches (MLCC).</w:t>
            </w:r>
          </w:p>
          <w:p w14:paraId="2C946CA5" w14:textId="77777777" w:rsidR="004A75E8" w:rsidRDefault="004A75E8">
            <w:pPr>
              <w:pStyle w:val="txt"/>
            </w:pPr>
          </w:p>
        </w:tc>
      </w:tr>
    </w:tbl>
    <w:p w14:paraId="307864E7" w14:textId="77777777" w:rsidR="004A75E8" w:rsidRDefault="004A75E8">
      <w:pPr>
        <w:pStyle w:val="PITextkrper"/>
        <w:rPr>
          <w:b/>
          <w:bCs/>
          <w:sz w:val="18"/>
          <w:szCs w:val="18"/>
        </w:rPr>
      </w:pPr>
    </w:p>
    <w:p w14:paraId="15FC92C9" w14:textId="77777777" w:rsidR="00790950" w:rsidRDefault="00790950" w:rsidP="00790950">
      <w:pPr>
        <w:pStyle w:val="Textkrper"/>
        <w:spacing w:before="120" w:after="120" w:line="260" w:lineRule="exact"/>
        <w:jc w:val="both"/>
        <w:rPr>
          <w:rFonts w:ascii="Arial" w:hAnsi="Arial"/>
          <w:b w:val="0"/>
          <w:bCs w:val="0"/>
        </w:rPr>
      </w:pPr>
      <w:bookmarkStart w:id="1" w:name="_Hlk142468663"/>
    </w:p>
    <w:p w14:paraId="1597E065" w14:textId="77777777" w:rsidR="00790950" w:rsidRDefault="00790950" w:rsidP="00790950">
      <w:pPr>
        <w:pStyle w:val="PITextkrper"/>
        <w:pBdr>
          <w:top w:val="single" w:sz="4" w:space="1" w:color="auto"/>
        </w:pBdr>
        <w:spacing w:before="240"/>
        <w:rPr>
          <w:b/>
          <w:sz w:val="18"/>
          <w:szCs w:val="18"/>
        </w:rPr>
      </w:pPr>
    </w:p>
    <w:p w14:paraId="7E883F15" w14:textId="77777777" w:rsidR="00790950" w:rsidRDefault="00790950" w:rsidP="0079095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BE8F1E7" w14:textId="77777777" w:rsidR="00790950" w:rsidRPr="008A7283" w:rsidRDefault="00790950" w:rsidP="00790950">
      <w:pPr>
        <w:pStyle w:val="Textkrper"/>
        <w:spacing w:before="120" w:after="120" w:line="276" w:lineRule="auto"/>
        <w:jc w:val="both"/>
        <w:rPr>
          <w:rFonts w:ascii="Arial" w:hAnsi="Arial"/>
          <w:b w:val="0"/>
          <w:lang w:val="es-ES"/>
        </w:rPr>
      </w:pPr>
      <w:bookmarkStart w:id="2"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681BCD3" w14:textId="77777777" w:rsidR="00790950" w:rsidRDefault="00790950" w:rsidP="00790950">
      <w:pPr>
        <w:pStyle w:val="Textkrper"/>
        <w:spacing w:before="120" w:after="120" w:line="276" w:lineRule="auto"/>
        <w:jc w:val="both"/>
        <w:rPr>
          <w:rFonts w:ascii="Arial" w:hAnsi="Arial"/>
          <w:b w:val="0"/>
          <w:lang w:val="es-ES"/>
        </w:rPr>
      </w:pPr>
    </w:p>
    <w:p w14:paraId="7AA6341E" w14:textId="77777777" w:rsidR="00790950" w:rsidRDefault="00790950">
      <w:pPr>
        <w:rPr>
          <w:rFonts w:ascii="Arial" w:hAnsi="Arial" w:cs="Arial"/>
          <w:bCs/>
          <w:sz w:val="20"/>
          <w:szCs w:val="20"/>
          <w:lang w:val="es-ES"/>
        </w:rPr>
      </w:pPr>
      <w:r>
        <w:rPr>
          <w:rFonts w:ascii="Arial" w:hAnsi="Arial"/>
          <w:b/>
          <w:lang w:val="es-ES"/>
        </w:rPr>
        <w:br w:type="page"/>
      </w:r>
    </w:p>
    <w:p w14:paraId="535FCE44" w14:textId="77777777" w:rsidR="00790950" w:rsidRDefault="00790950" w:rsidP="00790950">
      <w:pPr>
        <w:pStyle w:val="Textkrper"/>
        <w:spacing w:before="120" w:after="120" w:line="276" w:lineRule="auto"/>
        <w:jc w:val="both"/>
        <w:rPr>
          <w:rFonts w:ascii="Arial" w:hAnsi="Arial"/>
          <w:b w:val="0"/>
          <w:lang w:val="es-ES"/>
        </w:rPr>
      </w:pPr>
    </w:p>
    <w:p w14:paraId="42950CB3" w14:textId="552A5084"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6B150A70"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13E5B9B"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04D18F4" w14:textId="77777777" w:rsidR="00790950" w:rsidRPr="008A7283" w:rsidRDefault="00790950" w:rsidP="0079095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58C34C10" w14:textId="77777777" w:rsidR="00790950" w:rsidRPr="008A7283" w:rsidRDefault="00790950" w:rsidP="0079095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90950" w:rsidRPr="008A7283" w14:paraId="26E38A81" w14:textId="77777777" w:rsidTr="00CD1F16">
        <w:tc>
          <w:tcPr>
            <w:tcW w:w="3902" w:type="dxa"/>
            <w:shd w:val="clear" w:color="auto" w:fill="auto"/>
            <w:hideMark/>
          </w:tcPr>
          <w:p w14:paraId="5749F2BA" w14:textId="77777777" w:rsidR="00790950" w:rsidRPr="008A7283" w:rsidRDefault="00790950" w:rsidP="00CD1F1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AF1BF82" w14:textId="77777777" w:rsidR="00790950" w:rsidRPr="008A7283" w:rsidRDefault="00790950" w:rsidP="00CD1F1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374CB452" w14:textId="77777777" w:rsidR="00790950" w:rsidRPr="008A7283" w:rsidRDefault="00790950" w:rsidP="00CD1F16">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4AE7C51" w14:textId="77777777" w:rsidR="00790950" w:rsidRPr="008A7283" w:rsidRDefault="00790950" w:rsidP="00CD1F1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4E3F0B1" w14:textId="77777777" w:rsidR="00790950" w:rsidRDefault="00790950" w:rsidP="00CD1F16">
            <w:pPr>
              <w:spacing w:before="120" w:after="120" w:line="276" w:lineRule="auto"/>
              <w:rPr>
                <w:rFonts w:ascii="Arial" w:hAnsi="Arial" w:cs="Arial"/>
                <w:bCs/>
                <w:sz w:val="20"/>
              </w:rPr>
            </w:pPr>
            <w:r>
              <w:rPr>
                <w:rFonts w:ascii="Arial" w:hAnsi="Arial" w:cs="Arial"/>
                <w:bCs/>
                <w:sz w:val="20"/>
              </w:rPr>
              <w:t>www.we-online.com</w:t>
            </w:r>
          </w:p>
          <w:p w14:paraId="379571CB" w14:textId="77777777" w:rsidR="00790950" w:rsidRPr="00591131" w:rsidRDefault="00790950" w:rsidP="00CD1F16">
            <w:pPr>
              <w:rPr>
                <w:rFonts w:ascii="Arial" w:hAnsi="Arial" w:cs="Arial"/>
                <w:sz w:val="20"/>
              </w:rPr>
            </w:pPr>
          </w:p>
          <w:p w14:paraId="7B3B5B20" w14:textId="77777777" w:rsidR="00790950" w:rsidRPr="00591131" w:rsidRDefault="00790950" w:rsidP="00CD1F16">
            <w:pPr>
              <w:rPr>
                <w:rFonts w:ascii="Arial" w:hAnsi="Arial" w:cs="Arial"/>
                <w:sz w:val="20"/>
              </w:rPr>
            </w:pPr>
          </w:p>
        </w:tc>
        <w:tc>
          <w:tcPr>
            <w:tcW w:w="3193" w:type="dxa"/>
            <w:shd w:val="clear" w:color="auto" w:fill="auto"/>
            <w:hideMark/>
          </w:tcPr>
          <w:p w14:paraId="2F23C76C" w14:textId="77777777" w:rsidR="00790950" w:rsidRPr="008A7283" w:rsidRDefault="00790950" w:rsidP="00CD1F16">
            <w:pPr>
              <w:pStyle w:val="Textkrper"/>
              <w:tabs>
                <w:tab w:val="left" w:pos="1065"/>
              </w:tabs>
              <w:autoSpaceDE/>
              <w:adjustRightInd/>
              <w:spacing w:before="120" w:after="120" w:line="276" w:lineRule="auto"/>
              <w:rPr>
                <w:rFonts w:ascii="Arial" w:hAnsi="Arial"/>
              </w:rPr>
            </w:pPr>
          </w:p>
          <w:p w14:paraId="0AA64A30" w14:textId="77777777" w:rsidR="00790950" w:rsidRPr="008A7283" w:rsidRDefault="00790950" w:rsidP="00CD1F1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878BFA6" w14:textId="77777777" w:rsidR="00790950" w:rsidRPr="008A7283" w:rsidRDefault="00790950" w:rsidP="00CD1F1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B5CFD3A" w14:textId="77777777" w:rsidR="00790950" w:rsidRPr="008A7283" w:rsidRDefault="00790950" w:rsidP="00CD1F1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96B5D34" w14:textId="77777777" w:rsidR="00790950" w:rsidRPr="00591131" w:rsidRDefault="00790950" w:rsidP="00CD1F1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1"/>
    </w:tbl>
    <w:p w14:paraId="02453F06" w14:textId="77777777" w:rsidR="00790950" w:rsidRPr="00591131" w:rsidRDefault="00790950" w:rsidP="00790950">
      <w:pPr>
        <w:pStyle w:val="Textkrper"/>
        <w:spacing w:before="120" w:after="120" w:line="276" w:lineRule="auto"/>
      </w:pPr>
    </w:p>
    <w:p w14:paraId="664591F0" w14:textId="77777777" w:rsidR="00790950" w:rsidRDefault="00790950">
      <w:pPr>
        <w:pStyle w:val="PITextkrper"/>
        <w:rPr>
          <w:b/>
          <w:bCs/>
          <w:sz w:val="18"/>
          <w:szCs w:val="18"/>
        </w:rPr>
      </w:pPr>
    </w:p>
    <w:sectPr w:rsidR="0079095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808F" w14:textId="77777777" w:rsidR="004A75E8" w:rsidRDefault="00C65EBA">
      <w:r>
        <w:separator/>
      </w:r>
    </w:p>
  </w:endnote>
  <w:endnote w:type="continuationSeparator" w:id="0">
    <w:p w14:paraId="4297F830" w14:textId="77777777" w:rsidR="004A75E8" w:rsidRDefault="00C6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3367" w14:textId="77777777" w:rsidR="004A75E8" w:rsidRDefault="00730006">
    <w:pPr>
      <w:pStyle w:val="Fuzeile"/>
      <w:tabs>
        <w:tab w:val="clear" w:pos="4536"/>
        <w:tab w:val="clear" w:pos="9072"/>
        <w:tab w:val="right" w:pos="7088"/>
      </w:tabs>
      <w:rPr>
        <w:rFonts w:ascii="Arial" w:hAnsi="Arial" w:cs="Arial"/>
        <w:noProof/>
        <w:snapToGrid w:val="0"/>
        <w:sz w:val="16"/>
        <w:szCs w:val="16"/>
        <w:lang w:val="de-DE"/>
      </w:rPr>
    </w:pPr>
    <w:r>
      <w:fldChar w:fldCharType="begin"/>
    </w:r>
    <w:r>
      <w:instrText xml:space="preserve"> FILENAME  \* MERGEFORMAT </w:instrText>
    </w:r>
    <w:r>
      <w:fldChar w:fldCharType="separate"/>
    </w:r>
    <w:r w:rsidR="00C65EBA">
      <w:rPr>
        <w:rFonts w:ascii="Arial" w:hAnsi="Arial" w:cs="Arial"/>
        <w:noProof/>
        <w:snapToGrid w:val="0"/>
        <w:sz w:val="16"/>
        <w:lang w:val="de-DE"/>
      </w:rPr>
      <w:t>WTH1PI1296_fr.docx</w:t>
    </w:r>
    <w:r>
      <w:rPr>
        <w:rFonts w:ascii="Arial" w:hAnsi="Arial" w:cs="Arial"/>
        <w:noProof/>
        <w:snapToGrid w:val="0"/>
        <w:sz w:val="16"/>
        <w:lang w:val="de-DE"/>
      </w:rPr>
      <w:fldChar w:fldCharType="end"/>
    </w:r>
    <w:r w:rsidR="00C65EB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8956" w14:textId="77777777" w:rsidR="004A75E8" w:rsidRDefault="00C65EBA">
      <w:r>
        <w:separator/>
      </w:r>
    </w:p>
  </w:footnote>
  <w:footnote w:type="continuationSeparator" w:id="0">
    <w:p w14:paraId="216F22B5" w14:textId="77777777" w:rsidR="004A75E8" w:rsidRDefault="00C6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4B80" w14:textId="77777777" w:rsidR="004A75E8" w:rsidRDefault="00C65EB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5AC5551" wp14:editId="3F51B50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978560">
    <w:abstractNumId w:val="4"/>
  </w:num>
  <w:num w:numId="2" w16cid:durableId="2035230697">
    <w:abstractNumId w:val="1"/>
  </w:num>
  <w:num w:numId="3" w16cid:durableId="1987977601">
    <w:abstractNumId w:val="2"/>
  </w:num>
  <w:num w:numId="4" w16cid:durableId="1663849129">
    <w:abstractNumId w:val="3"/>
  </w:num>
  <w:num w:numId="5" w16cid:durableId="172112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E8"/>
    <w:rsid w:val="00076B67"/>
    <w:rsid w:val="00117E94"/>
    <w:rsid w:val="004A75E8"/>
    <w:rsid w:val="00730006"/>
    <w:rsid w:val="00790950"/>
    <w:rsid w:val="00882F84"/>
    <w:rsid w:val="00B53D24"/>
    <w:rsid w:val="00C65E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BA8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anp114_voltage_and_frequency_dependence_of_ferroelectric_class_2_multilayer_ceramic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A982-7CC9-450D-B368-5E7BA620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4629</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2023-10-12T12:53:00Z</dcterms:created>
  <dcterms:modified xsi:type="dcterms:W3CDTF">2023-12-05T10:26:00Z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