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6540" w14:textId="77777777" w:rsidR="00C827AA" w:rsidRDefault="00631B15">
      <w:pPr>
        <w:pStyle w:val="berschrift1"/>
        <w:spacing w:before="720" w:after="720" w:line="260" w:lineRule="exact"/>
        <w:rPr>
          <w:sz w:val="20"/>
          <w:lang w:bidi="it-IT"/>
        </w:rPr>
      </w:pPr>
      <w:r>
        <w:rPr>
          <w:sz w:val="20"/>
          <w:lang w:bidi="it-IT"/>
        </w:rPr>
        <w:t>MEDIENINFORMATION</w:t>
      </w:r>
    </w:p>
    <w:p w14:paraId="08DB3AAB" w14:textId="4F346CC3" w:rsidR="00C827AA" w:rsidRDefault="00631B15">
      <w:pPr>
        <w:rPr>
          <w:rFonts w:ascii="Arial" w:hAnsi="Arial" w:cs="Arial"/>
          <w:b/>
          <w:bCs/>
        </w:rPr>
      </w:pPr>
      <w:r>
        <w:rPr>
          <w:rFonts w:ascii="Arial" w:hAnsi="Arial" w:cs="Arial"/>
          <w:b/>
          <w:bCs/>
        </w:rPr>
        <w:t xml:space="preserve">Würth Elektronik erweitert Terminal-Block </w:t>
      </w:r>
      <w:proofErr w:type="spellStart"/>
      <w:r>
        <w:rPr>
          <w:rFonts w:ascii="Arial" w:hAnsi="Arial" w:cs="Arial"/>
          <w:b/>
          <w:bCs/>
        </w:rPr>
        <w:t>Steckverbinderserie</w:t>
      </w:r>
      <w:proofErr w:type="spellEnd"/>
    </w:p>
    <w:p w14:paraId="5D6673AF" w14:textId="77777777" w:rsidR="00C827AA" w:rsidRDefault="00631B15">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Schraublose Alternativen und THR-Versionen</w:t>
      </w:r>
    </w:p>
    <w:p w14:paraId="3E70D7F1" w14:textId="767DB66C" w:rsidR="00C827AA" w:rsidRDefault="00631B1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531989">
        <w:rPr>
          <w:rFonts w:ascii="Arial" w:hAnsi="Arial"/>
          <w:color w:val="000000"/>
        </w:rPr>
        <w:t>28. November</w:t>
      </w:r>
      <w:r>
        <w:rPr>
          <w:rFonts w:ascii="Arial" w:hAnsi="Arial"/>
          <w:color w:val="000000"/>
        </w:rPr>
        <w:t xml:space="preserve"> 2023 – Würth Elektronik erweitert die WR-TBL-Reihe um schraublose Push-In-Steckverbinder im 3,5-mm- und 3,81-mm-Raster. Die neuen Serien 4101, 8101, 4093, 8093 kommen den Spezifikationen der Verbinder mit Schraubenfixierung nahe und können diese ersetzen. Eine wichtige Ergänzung für Kunden mit SMT-dominierter Fertigung: Die THR-Serien 8101 und 8093 sind für die Verlötung im Reflow-Ofen ausgelegt.</w:t>
      </w:r>
    </w:p>
    <w:p w14:paraId="0A190A73" w14:textId="693B5F27" w:rsidR="00C827AA" w:rsidRDefault="00631B1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Bei der THR-Serie besteht das Gehäuse aus einem Hochtemperaturkunststoff, die Stiftlänge ist verringert und sie werden in </w:t>
      </w:r>
      <w:proofErr w:type="spellStart"/>
      <w:r>
        <w:rPr>
          <w:rFonts w:ascii="Arial" w:hAnsi="Arial"/>
          <w:b w:val="0"/>
          <w:bCs w:val="0"/>
          <w:color w:val="000000"/>
        </w:rPr>
        <w:t>automatenverarbeitbarer</w:t>
      </w:r>
      <w:proofErr w:type="spellEnd"/>
      <w:r>
        <w:rPr>
          <w:rFonts w:ascii="Arial" w:hAnsi="Arial"/>
          <w:b w:val="0"/>
          <w:bCs w:val="0"/>
          <w:color w:val="000000"/>
        </w:rPr>
        <w:t xml:space="preserve"> Gurtverpackung geliefert. Die Serien </w:t>
      </w:r>
      <w:hyperlink r:id="rId8" w:history="1">
        <w:r>
          <w:rPr>
            <w:rStyle w:val="Hyperlink"/>
            <w:rFonts w:ascii="Arial" w:hAnsi="Arial"/>
            <w:b w:val="0"/>
            <w:bCs w:val="0"/>
          </w:rPr>
          <w:t>4101 (THT) und 8101 (THR)</w:t>
        </w:r>
      </w:hyperlink>
      <w:r>
        <w:rPr>
          <w:rFonts w:ascii="Arial" w:hAnsi="Arial"/>
          <w:b w:val="0"/>
          <w:bCs w:val="0"/>
          <w:color w:val="000000"/>
        </w:rPr>
        <w:t xml:space="preserve"> im Raster 3.5 mm sind mit horizontalem, vertikalem und 45°-Kabeleingang erhältlich.</w:t>
      </w:r>
      <w:r w:rsidR="001247B0">
        <w:rPr>
          <w:rFonts w:ascii="Arial" w:hAnsi="Arial"/>
          <w:b w:val="0"/>
          <w:bCs w:val="0"/>
          <w:color w:val="000000"/>
        </w:rPr>
        <w:t> </w:t>
      </w:r>
      <w:r>
        <w:rPr>
          <w:rFonts w:ascii="Arial" w:hAnsi="Arial"/>
          <w:b w:val="0"/>
          <w:bCs w:val="0"/>
          <w:color w:val="000000"/>
        </w:rPr>
        <w:t>Die</w:t>
      </w:r>
      <w:r w:rsidR="001247B0">
        <w:rPr>
          <w:rFonts w:ascii="Arial" w:hAnsi="Arial"/>
          <w:b w:val="0"/>
          <w:bCs w:val="0"/>
          <w:color w:val="000000"/>
        </w:rPr>
        <w:t> </w:t>
      </w:r>
      <w:r>
        <w:rPr>
          <w:rFonts w:ascii="Arial" w:hAnsi="Arial"/>
          <w:b w:val="0"/>
          <w:bCs w:val="0"/>
          <w:color w:val="000000"/>
        </w:rPr>
        <w:t xml:space="preserve">Serien </w:t>
      </w:r>
      <w:hyperlink r:id="rId9" w:history="1">
        <w:r>
          <w:rPr>
            <w:rStyle w:val="Hyperlink"/>
            <w:rFonts w:ascii="Arial" w:hAnsi="Arial"/>
            <w:b w:val="0"/>
            <w:bCs w:val="0"/>
          </w:rPr>
          <w:t>4093 (THT) und 8093 (THR)</w:t>
        </w:r>
      </w:hyperlink>
      <w:r>
        <w:rPr>
          <w:rFonts w:ascii="Arial" w:hAnsi="Arial"/>
          <w:b w:val="0"/>
          <w:bCs w:val="0"/>
          <w:color w:val="000000"/>
        </w:rPr>
        <w:t xml:space="preserve"> mit 3,81-mm-Raster haben eine</w:t>
      </w:r>
      <w:r w:rsidR="001247B0">
        <w:rPr>
          <w:rFonts w:ascii="Arial" w:hAnsi="Arial"/>
          <w:b w:val="0"/>
          <w:bCs w:val="0"/>
          <w:color w:val="000000"/>
        </w:rPr>
        <w:t xml:space="preserve"> </w:t>
      </w:r>
      <w:r>
        <w:rPr>
          <w:rFonts w:ascii="Arial" w:hAnsi="Arial"/>
          <w:b w:val="0"/>
          <w:bCs w:val="0"/>
          <w:color w:val="000000"/>
        </w:rPr>
        <w:t>45°-Kabeleinführung.</w:t>
      </w:r>
    </w:p>
    <w:p w14:paraId="7DB2A5B4" w14:textId="632AD36C" w:rsidR="00C827AA" w:rsidRDefault="00631B15">
      <w:pPr>
        <w:pStyle w:val="Textkrper"/>
        <w:spacing w:before="120" w:after="120" w:line="260" w:lineRule="exact"/>
        <w:jc w:val="both"/>
        <w:rPr>
          <w:rFonts w:ascii="Arial" w:hAnsi="Arial"/>
          <w:b w:val="0"/>
          <w:bCs w:val="0"/>
          <w:color w:val="000000"/>
        </w:rPr>
      </w:pPr>
      <w:r>
        <w:rPr>
          <w:rFonts w:ascii="Arial" w:hAnsi="Arial"/>
          <w:b w:val="0"/>
          <w:bCs w:val="0"/>
          <w:color w:val="000000"/>
        </w:rPr>
        <w:t>Die Terminal-Blocks sind mit zwei bis zwölf Polen ab Lager erhältlich.</w:t>
      </w:r>
      <w:r w:rsidR="001247B0">
        <w:rPr>
          <w:rFonts w:ascii="Arial" w:hAnsi="Arial"/>
          <w:b w:val="0"/>
          <w:bCs w:val="0"/>
          <w:color w:val="000000"/>
        </w:rPr>
        <w:t xml:space="preserve"> </w:t>
      </w:r>
      <w:r>
        <w:rPr>
          <w:rFonts w:ascii="Arial" w:hAnsi="Arial"/>
          <w:b w:val="0"/>
          <w:bCs w:val="0"/>
          <w:color w:val="000000"/>
        </w:rPr>
        <w:t>13-</w:t>
      </w:r>
      <w:r w:rsidR="001247B0">
        <w:rPr>
          <w:rFonts w:ascii="Arial" w:hAnsi="Arial"/>
          <w:b w:val="0"/>
          <w:bCs w:val="0"/>
          <w:color w:val="000000"/>
        </w:rPr>
        <w:t> </w:t>
      </w:r>
      <w:r>
        <w:rPr>
          <w:rFonts w:ascii="Arial" w:hAnsi="Arial"/>
          <w:b w:val="0"/>
          <w:bCs w:val="0"/>
          <w:color w:val="000000"/>
        </w:rPr>
        <w:t>bis</w:t>
      </w:r>
      <w:r w:rsidR="001247B0">
        <w:rPr>
          <w:rFonts w:ascii="Arial" w:hAnsi="Arial"/>
          <w:b w:val="0"/>
          <w:bCs w:val="0"/>
          <w:color w:val="000000"/>
        </w:rPr>
        <w:t> </w:t>
      </w:r>
      <w:r>
        <w:rPr>
          <w:rFonts w:ascii="Arial" w:hAnsi="Arial"/>
          <w:b w:val="0"/>
          <w:bCs w:val="0"/>
          <w:color w:val="000000"/>
        </w:rPr>
        <w:t xml:space="preserve">24-polige Steckverbinder werden auf Anfrage kundenspezifisch produziert. </w:t>
      </w:r>
    </w:p>
    <w:p w14:paraId="498BF8FB" w14:textId="77777777" w:rsidR="00C827AA" w:rsidRDefault="00631B1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Alle genannten Serien sind sowohl </w:t>
      </w:r>
      <w:proofErr w:type="spellStart"/>
      <w:r>
        <w:rPr>
          <w:rFonts w:ascii="Arial" w:hAnsi="Arial"/>
          <w:b w:val="0"/>
          <w:bCs w:val="0"/>
          <w:color w:val="000000"/>
        </w:rPr>
        <w:t>cULus</w:t>
      </w:r>
      <w:proofErr w:type="spellEnd"/>
      <w:r>
        <w:rPr>
          <w:rFonts w:ascii="Arial" w:hAnsi="Arial"/>
          <w:b w:val="0"/>
          <w:bCs w:val="0"/>
          <w:color w:val="000000"/>
        </w:rPr>
        <w:t>- als auch VDE-zertifiziert.</w:t>
      </w:r>
    </w:p>
    <w:p w14:paraId="19DB8223" w14:textId="77777777" w:rsidR="00C827AA" w:rsidRDefault="00C827AA">
      <w:pPr>
        <w:pStyle w:val="Textkrper"/>
        <w:spacing w:before="120" w:after="120" w:line="260" w:lineRule="exact"/>
        <w:jc w:val="both"/>
        <w:rPr>
          <w:rFonts w:ascii="Arial" w:hAnsi="Arial"/>
          <w:b w:val="0"/>
          <w:bCs w:val="0"/>
        </w:rPr>
      </w:pPr>
    </w:p>
    <w:p w14:paraId="151C4119" w14:textId="77777777" w:rsidR="00C827AA" w:rsidRDefault="00C827AA">
      <w:pPr>
        <w:pStyle w:val="Textkrper"/>
        <w:spacing w:before="120" w:after="120" w:line="260" w:lineRule="exact"/>
        <w:jc w:val="both"/>
        <w:rPr>
          <w:rFonts w:ascii="Arial" w:hAnsi="Arial"/>
          <w:b w:val="0"/>
          <w:bCs w:val="0"/>
        </w:rPr>
      </w:pPr>
    </w:p>
    <w:p w14:paraId="77FA2163" w14:textId="77777777" w:rsidR="00C827AA" w:rsidRDefault="00C827AA">
      <w:pPr>
        <w:pStyle w:val="PITextkrper"/>
        <w:pBdr>
          <w:top w:val="single" w:sz="4" w:space="1" w:color="auto"/>
        </w:pBdr>
        <w:spacing w:before="240"/>
        <w:rPr>
          <w:b/>
          <w:sz w:val="18"/>
          <w:szCs w:val="18"/>
          <w:lang w:val="de-DE"/>
        </w:rPr>
      </w:pPr>
    </w:p>
    <w:p w14:paraId="51DFD3D7" w14:textId="77777777" w:rsidR="00C827AA" w:rsidRDefault="00631B15">
      <w:pPr>
        <w:spacing w:after="120" w:line="280" w:lineRule="exact"/>
        <w:rPr>
          <w:rFonts w:ascii="Arial" w:hAnsi="Arial" w:cs="Arial"/>
          <w:b/>
          <w:bCs/>
          <w:sz w:val="18"/>
          <w:szCs w:val="18"/>
        </w:rPr>
      </w:pPr>
      <w:r>
        <w:rPr>
          <w:rFonts w:ascii="Arial" w:hAnsi="Arial" w:cs="Arial"/>
          <w:b/>
          <w:bCs/>
          <w:sz w:val="18"/>
          <w:szCs w:val="18"/>
        </w:rPr>
        <w:t>Verfügbares Bildmaterial</w:t>
      </w:r>
    </w:p>
    <w:p w14:paraId="12CEC922" w14:textId="77777777" w:rsidR="00C827AA" w:rsidRDefault="00631B15">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p w14:paraId="2206D1A7" w14:textId="77777777" w:rsidR="00C827AA" w:rsidRDefault="00631B15">
      <w:pPr>
        <w:rPr>
          <w:rStyle w:val="Hyperlink"/>
          <w:rFonts w:ascii="Arial" w:hAnsi="Arial" w:cs="Arial"/>
          <w:sz w:val="18"/>
          <w:szCs w:val="18"/>
        </w:rPr>
      </w:pPr>
      <w:r>
        <w:rPr>
          <w:rStyle w:val="Hyperlink"/>
          <w:rFonts w:ascii="Arial" w:hAnsi="Arial" w:cs="Arial"/>
          <w:sz w:val="18"/>
          <w:szCs w:val="18"/>
        </w:rPr>
        <w:br w:type="page"/>
      </w:r>
    </w:p>
    <w:p w14:paraId="7AA5C543" w14:textId="77777777" w:rsidR="00C827AA" w:rsidRDefault="00C827AA">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827AA" w14:paraId="535358D6" w14:textId="77777777">
        <w:trPr>
          <w:trHeight w:val="1701"/>
        </w:trPr>
        <w:tc>
          <w:tcPr>
            <w:tcW w:w="3510" w:type="dxa"/>
          </w:tcPr>
          <w:p w14:paraId="448D9420" w14:textId="77777777" w:rsidR="00C827AA" w:rsidRDefault="00631B15">
            <w:pPr>
              <w:pStyle w:val="txt"/>
              <w:rPr>
                <w:b/>
                <w:bCs/>
                <w:sz w:val="18"/>
              </w:rPr>
            </w:pPr>
            <w:r>
              <w:rPr>
                <w:b/>
              </w:rPr>
              <w:br/>
            </w:r>
            <w:r>
              <w:rPr>
                <w:noProof/>
              </w:rPr>
              <w:drawing>
                <wp:inline distT="0" distB="0" distL="0" distR="0" wp14:anchorId="518B3C73" wp14:editId="659AFA0B">
                  <wp:extent cx="2158365" cy="1834514"/>
                  <wp:effectExtent l="0" t="0" r="0" b="0"/>
                  <wp:docPr id="10710981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02" b="7502"/>
                          <a:stretch/>
                        </pic:blipFill>
                        <pic:spPr bwMode="auto">
                          <a:xfrm>
                            <a:off x="0" y="0"/>
                            <a:ext cx="2158365" cy="1834514"/>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Bildquelle: Würth Elektronik </w:t>
            </w:r>
          </w:p>
          <w:p w14:paraId="067861FA" w14:textId="5DB58A11" w:rsidR="00C827AA" w:rsidRDefault="00631B15">
            <w:pPr>
              <w:autoSpaceDE w:val="0"/>
              <w:autoSpaceDN w:val="0"/>
              <w:adjustRightInd w:val="0"/>
              <w:rPr>
                <w:rFonts w:ascii="Arial" w:hAnsi="Arial" w:cs="Arial"/>
                <w:b/>
                <w:bCs/>
                <w:sz w:val="18"/>
                <w:szCs w:val="18"/>
              </w:rPr>
            </w:pPr>
            <w:r>
              <w:rPr>
                <w:rFonts w:ascii="Arial" w:hAnsi="Arial" w:cs="Arial"/>
                <w:b/>
                <w:sz w:val="18"/>
                <w:szCs w:val="18"/>
              </w:rPr>
              <w:t>Serie 8101, 3,5 mm Raster, 45° Kabeleingang, THR – robuste Terminal-Blocks zur Bestückung in Linien mit Reflow-Ofen.</w:t>
            </w:r>
            <w:r>
              <w:rPr>
                <w:rFonts w:ascii="Arial" w:hAnsi="Arial" w:cs="Arial"/>
                <w:b/>
                <w:sz w:val="18"/>
                <w:szCs w:val="18"/>
              </w:rPr>
              <w:br/>
            </w:r>
          </w:p>
        </w:tc>
      </w:tr>
    </w:tbl>
    <w:p w14:paraId="3F83D93E" w14:textId="77777777" w:rsidR="00C827AA" w:rsidRDefault="00C827AA">
      <w:pPr>
        <w:pStyle w:val="PITextkrper"/>
        <w:rPr>
          <w:b/>
          <w:bCs/>
          <w:sz w:val="18"/>
          <w:szCs w:val="18"/>
          <w:lang w:val="de-DE"/>
        </w:rPr>
      </w:pPr>
    </w:p>
    <w:p w14:paraId="63F50B44" w14:textId="77777777" w:rsidR="005B43C0" w:rsidRPr="00080F03" w:rsidRDefault="005B43C0" w:rsidP="005B43C0">
      <w:pPr>
        <w:pStyle w:val="Textkrper"/>
        <w:spacing w:before="120" w:after="120" w:line="260" w:lineRule="exact"/>
        <w:jc w:val="both"/>
        <w:rPr>
          <w:rFonts w:ascii="Arial" w:hAnsi="Arial"/>
          <w:b w:val="0"/>
          <w:bCs w:val="0"/>
        </w:rPr>
      </w:pPr>
    </w:p>
    <w:p w14:paraId="4ABE22CB" w14:textId="77777777" w:rsidR="005B43C0" w:rsidRPr="00080F03" w:rsidRDefault="005B43C0" w:rsidP="005B43C0">
      <w:pPr>
        <w:pStyle w:val="PITextkrper"/>
        <w:pBdr>
          <w:top w:val="single" w:sz="4" w:space="1" w:color="auto"/>
        </w:pBdr>
        <w:spacing w:before="240"/>
        <w:rPr>
          <w:b/>
          <w:sz w:val="18"/>
          <w:szCs w:val="18"/>
          <w:lang w:val="de-DE"/>
        </w:rPr>
      </w:pPr>
    </w:p>
    <w:p w14:paraId="7B499F95" w14:textId="77777777" w:rsidR="005B43C0" w:rsidRPr="00080F03" w:rsidRDefault="005B43C0" w:rsidP="005B43C0">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527C0F2A" w14:textId="77777777" w:rsidR="005B43C0" w:rsidRPr="00080F03" w:rsidRDefault="005B43C0" w:rsidP="005B43C0">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C5E97CB" w14:textId="77777777" w:rsidR="005B43C0" w:rsidRPr="00080F03" w:rsidRDefault="005B43C0" w:rsidP="005B43C0">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53F24945" w14:textId="77777777" w:rsidR="005B43C0" w:rsidRPr="00080F03" w:rsidRDefault="005B43C0" w:rsidP="005B43C0">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0F1C618" w14:textId="77777777" w:rsidR="005B43C0" w:rsidRPr="008E6771" w:rsidRDefault="005B43C0" w:rsidP="005B43C0">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26493B05" w14:textId="77777777" w:rsidR="005B43C0" w:rsidRPr="00080F03" w:rsidRDefault="005B43C0" w:rsidP="005B43C0">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626A0069" w14:textId="77777777" w:rsidR="005B43C0" w:rsidRPr="00080F03" w:rsidRDefault="005B43C0" w:rsidP="005B43C0">
      <w:pPr>
        <w:pStyle w:val="Textkrper"/>
        <w:spacing w:before="120" w:after="120" w:line="276" w:lineRule="auto"/>
        <w:rPr>
          <w:rFonts w:ascii="Arial" w:hAnsi="Arial"/>
        </w:rPr>
      </w:pPr>
      <w:r w:rsidRPr="00080F03">
        <w:rPr>
          <w:rFonts w:ascii="Arial" w:hAnsi="Arial"/>
        </w:rPr>
        <w:t>Weitere Informationen unter www.we-online.com</w:t>
      </w:r>
    </w:p>
    <w:p w14:paraId="179EB4EF" w14:textId="77777777" w:rsidR="005B43C0" w:rsidRPr="00080F03" w:rsidRDefault="005B43C0" w:rsidP="005B43C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B43C0" w:rsidRPr="00080F03" w14:paraId="2094E4DA" w14:textId="77777777" w:rsidTr="006921E3">
        <w:tc>
          <w:tcPr>
            <w:tcW w:w="3902" w:type="dxa"/>
            <w:hideMark/>
          </w:tcPr>
          <w:p w14:paraId="3E8FE0CF" w14:textId="77777777" w:rsidR="005B43C0" w:rsidRPr="00080F03" w:rsidRDefault="005B43C0" w:rsidP="006921E3">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30B03094" w14:textId="77777777" w:rsidR="005B43C0" w:rsidRPr="00080F03" w:rsidRDefault="005B43C0" w:rsidP="006921E3">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72446D43" w14:textId="77777777" w:rsidR="005B43C0" w:rsidRPr="00080F03" w:rsidRDefault="005B43C0" w:rsidP="006921E3">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462098D4" w14:textId="77777777" w:rsidR="005B43C0" w:rsidRPr="00080F03" w:rsidRDefault="005B43C0" w:rsidP="006921E3">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6B93CFA9" w14:textId="77777777" w:rsidR="005B43C0" w:rsidRPr="00080F03" w:rsidRDefault="005B43C0" w:rsidP="006921E3">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20926DA6" w14:textId="77777777" w:rsidR="005B43C0" w:rsidRPr="00080F03" w:rsidRDefault="005B43C0" w:rsidP="006921E3">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2C853879" w14:textId="77777777" w:rsidR="005B43C0" w:rsidRPr="00080F03" w:rsidRDefault="005B43C0" w:rsidP="006921E3">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0DD43228" w14:textId="77777777" w:rsidR="005B43C0" w:rsidRPr="00080F03" w:rsidRDefault="005B43C0" w:rsidP="006921E3">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0B1C3B24" w14:textId="77777777" w:rsidR="005B43C0" w:rsidRPr="00080F03" w:rsidRDefault="005B43C0" w:rsidP="005B43C0">
      <w:pPr>
        <w:pStyle w:val="Textkrper"/>
        <w:spacing w:before="120" w:after="120" w:line="260" w:lineRule="exact"/>
      </w:pPr>
    </w:p>
    <w:p w14:paraId="5515938B" w14:textId="77777777" w:rsidR="005B43C0" w:rsidRPr="00080F03" w:rsidRDefault="005B43C0" w:rsidP="005B43C0">
      <w:pPr>
        <w:pStyle w:val="Textkrper"/>
        <w:spacing w:before="120" w:after="120" w:line="260" w:lineRule="exact"/>
        <w:jc w:val="both"/>
        <w:rPr>
          <w:rFonts w:asciiTheme="minorHAnsi" w:hAnsiTheme="minorHAnsi" w:cstheme="minorHAnsi"/>
          <w:sz w:val="22"/>
          <w:szCs w:val="22"/>
        </w:rPr>
      </w:pPr>
    </w:p>
    <w:p w14:paraId="41757160" w14:textId="77777777" w:rsidR="00C827AA" w:rsidRDefault="00C827AA" w:rsidP="005B43C0">
      <w:pPr>
        <w:pStyle w:val="Textkrper"/>
        <w:spacing w:before="120" w:after="120" w:line="260" w:lineRule="exact"/>
        <w:jc w:val="both"/>
        <w:rPr>
          <w:rFonts w:ascii="Calibri" w:hAnsi="Calibri" w:cs="Calibri"/>
          <w:sz w:val="22"/>
          <w:szCs w:val="22"/>
        </w:rPr>
      </w:pPr>
    </w:p>
    <w:sectPr w:rsidR="00C827AA">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A64D" w14:textId="77777777" w:rsidR="00C827AA" w:rsidRDefault="00631B15">
      <w:r>
        <w:separator/>
      </w:r>
    </w:p>
  </w:endnote>
  <w:endnote w:type="continuationSeparator" w:id="0">
    <w:p w14:paraId="00E4B1D0" w14:textId="77777777" w:rsidR="00C827AA" w:rsidRDefault="0063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2568" w14:textId="3900D562" w:rsidR="00C827AA" w:rsidRDefault="00631B1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WTH1PI1275.docx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35C9" w14:textId="77777777" w:rsidR="00C827AA" w:rsidRDefault="00631B15">
      <w:r>
        <w:separator/>
      </w:r>
    </w:p>
  </w:footnote>
  <w:footnote w:type="continuationSeparator" w:id="0">
    <w:p w14:paraId="550C0FC7" w14:textId="77777777" w:rsidR="00C827AA" w:rsidRDefault="0063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569F" w14:textId="77777777" w:rsidR="00C827AA" w:rsidRDefault="00631B15">
    <w:pPr>
      <w:pStyle w:val="Kopfzeile"/>
      <w:tabs>
        <w:tab w:val="clear" w:pos="9072"/>
        <w:tab w:val="right" w:pos="9498"/>
      </w:tabs>
    </w:pPr>
    <w:r>
      <w:rPr>
        <w:noProof/>
      </w:rPr>
      <w:drawing>
        <wp:anchor distT="0" distB="0" distL="114300" distR="114300" simplePos="0" relativeHeight="251657728" behindDoc="1" locked="0" layoutInCell="0" allowOverlap="1" wp14:anchorId="4E32218F" wp14:editId="743E3A7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003842">
    <w:abstractNumId w:val="4"/>
  </w:num>
  <w:num w:numId="2" w16cid:durableId="664170157">
    <w:abstractNumId w:val="1"/>
  </w:num>
  <w:num w:numId="3" w16cid:durableId="579215011">
    <w:abstractNumId w:val="2"/>
  </w:num>
  <w:num w:numId="4" w16cid:durableId="1036082657">
    <w:abstractNumId w:val="3"/>
  </w:num>
  <w:num w:numId="5" w16cid:durableId="106661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AA"/>
    <w:rsid w:val="000152CA"/>
    <w:rsid w:val="001247B0"/>
    <w:rsid w:val="0031152D"/>
    <w:rsid w:val="00442D01"/>
    <w:rsid w:val="00531989"/>
    <w:rsid w:val="005B43C0"/>
    <w:rsid w:val="00631B15"/>
    <w:rsid w:val="009F3C06"/>
    <w:rsid w:val="00C827A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429C9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Default">
    <w:name w:val="Default"/>
    <w:basedOn w:val="Standard"/>
    <w:uiPriority w:val="99"/>
    <w:pPr>
      <w:autoSpaceDE w:val="0"/>
      <w:autoSpaceDN w:val="0"/>
    </w:pPr>
    <w:rPr>
      <w:rFonts w:ascii="Titillium Web" w:eastAsia="Calibri" w:hAnsi="Titillium Web"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0339926">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214322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em/connectors/terminal_blocks/spring_clamp-contbl_wave_soldering_process/spring_clamp_contbl4_wave_soldering_process_pitch_3_50m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em/connectors/terminal_blocks/spring_clamp-contbl_wave_soldering_process/spring_clamp_contbl4_wave_soldering_process_pitch_3_81m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AFDD-0794-4906-8FA4-CF29D4CC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2023-06-20T11:55:00Z</cp:lastPrinted>
  <dcterms:created xsi:type="dcterms:W3CDTF">2023-11-27T16:00:00Z</dcterms:created>
  <dcterms:modified xsi:type="dcterms:W3CDTF">2023-11-27T16:03:00Z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