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1CF34" w14:textId="77777777" w:rsidR="00AF17A6" w:rsidRDefault="00851042">
      <w:pPr>
        <w:pStyle w:val="berschrift1"/>
        <w:spacing w:before="720" w:after="720" w:line="260" w:lineRule="exact"/>
        <w:rPr>
          <w:sz w:val="20"/>
          <w:lang w:bidi="it-IT"/>
        </w:rPr>
      </w:pPr>
      <w:r>
        <w:rPr>
          <w:sz w:val="20"/>
          <w:lang w:bidi="it-IT"/>
        </w:rPr>
        <w:t>MEDIENINFORMATION</w:t>
      </w:r>
    </w:p>
    <w:p w14:paraId="6D96DD46" w14:textId="77777777" w:rsidR="00AF17A6" w:rsidRDefault="00851042">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w:t>
      </w:r>
      <w:proofErr w:type="spellStart"/>
      <w:r>
        <w:rPr>
          <w:rFonts w:ascii="Arial" w:hAnsi="Arial" w:cs="Arial"/>
          <w:b/>
          <w:bCs/>
        </w:rPr>
        <w:t>Application</w:t>
      </w:r>
      <w:proofErr w:type="spellEnd"/>
      <w:r>
        <w:rPr>
          <w:rFonts w:ascii="Arial" w:hAnsi="Arial" w:cs="Arial"/>
          <w:b/>
          <w:bCs/>
        </w:rPr>
        <w:t xml:space="preserve"> Note zu Gigabit-Power-</w:t>
      </w:r>
      <w:proofErr w:type="spellStart"/>
      <w:r>
        <w:rPr>
          <w:rFonts w:ascii="Arial" w:hAnsi="Arial" w:cs="Arial"/>
          <w:b/>
          <w:bCs/>
        </w:rPr>
        <w:t>over</w:t>
      </w:r>
      <w:proofErr w:type="spellEnd"/>
      <w:r>
        <w:rPr>
          <w:rFonts w:ascii="Arial" w:hAnsi="Arial" w:cs="Arial"/>
          <w:b/>
          <w:bCs/>
        </w:rPr>
        <w:t>-Ethernet</w:t>
      </w:r>
    </w:p>
    <w:p w14:paraId="4FB3A909" w14:textId="77777777" w:rsidR="00AF17A6" w:rsidRDefault="00851042">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EMV-Gesichtspunkte einer </w:t>
      </w:r>
      <w:proofErr w:type="spellStart"/>
      <w:r>
        <w:rPr>
          <w:rFonts w:ascii="Arial" w:hAnsi="Arial" w:cs="Arial"/>
          <w:b/>
          <w:bCs/>
          <w:color w:val="000000"/>
          <w:sz w:val="36"/>
        </w:rPr>
        <w:t>PoE</w:t>
      </w:r>
      <w:proofErr w:type="spellEnd"/>
      <w:r>
        <w:rPr>
          <w:rFonts w:ascii="Arial" w:hAnsi="Arial" w:cs="Arial"/>
          <w:b/>
          <w:bCs/>
          <w:color w:val="000000"/>
          <w:sz w:val="36"/>
        </w:rPr>
        <w:t xml:space="preserve">-Schnittstelle verstehen </w:t>
      </w:r>
    </w:p>
    <w:p w14:paraId="3A68999C" w14:textId="2AB2909A" w:rsidR="00AF17A6" w:rsidRDefault="00851042">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105203">
        <w:rPr>
          <w:rFonts w:ascii="Arial" w:hAnsi="Arial"/>
          <w:color w:val="000000"/>
        </w:rPr>
        <w:t xml:space="preserve">14. November </w:t>
      </w:r>
      <w:r>
        <w:rPr>
          <w:rFonts w:ascii="Arial" w:hAnsi="Arial"/>
          <w:color w:val="000000"/>
        </w:rPr>
        <w:t xml:space="preserve">2023 – Würth Elektronik hat eine weitere Applikation Note zu einer speziellen EMV-Herausforderung veröffentlicht. Die App Note </w:t>
      </w:r>
      <w:hyperlink r:id="rId8" w:history="1">
        <w:r>
          <w:rPr>
            <w:rStyle w:val="Hyperlink"/>
            <w:rFonts w:ascii="Arial" w:hAnsi="Arial"/>
          </w:rPr>
          <w:t>ANP122</w:t>
        </w:r>
      </w:hyperlink>
      <w:r>
        <w:rPr>
          <w:rFonts w:ascii="Arial" w:hAnsi="Arial"/>
          <w:color w:val="000000"/>
        </w:rPr>
        <w:t xml:space="preserve"> „Gigabit-Power-</w:t>
      </w:r>
      <w:proofErr w:type="spellStart"/>
      <w:r>
        <w:rPr>
          <w:rFonts w:ascii="Arial" w:hAnsi="Arial"/>
          <w:color w:val="000000"/>
        </w:rPr>
        <w:t>over</w:t>
      </w:r>
      <w:proofErr w:type="spellEnd"/>
      <w:r>
        <w:rPr>
          <w:rFonts w:ascii="Arial" w:hAnsi="Arial"/>
          <w:color w:val="000000"/>
        </w:rPr>
        <w:t xml:space="preserve">-Ethernet-Schnittstelle unter EMV-Gesichtspunkten“ klärt darüber auf, welche elektromagnetischen Störungen bei einer Ethernet-Schnittstelle zu berücksichtigen sind, die zugleich zur Stromversorgung genutzt wird. Anwendungsbeispiel ist das Referenzdesign </w:t>
      </w:r>
      <w:hyperlink r:id="rId9" w:history="1">
        <w:r>
          <w:rPr>
            <w:rStyle w:val="Hyperlink"/>
            <w:rFonts w:ascii="Arial" w:hAnsi="Arial"/>
          </w:rPr>
          <w:t>RD022</w:t>
        </w:r>
      </w:hyperlink>
      <w:r>
        <w:rPr>
          <w:rFonts w:ascii="Arial" w:hAnsi="Arial"/>
          <w:color w:val="000000"/>
        </w:rPr>
        <w:t xml:space="preserve">, in dem Würth Elektronik einen industrietauglichen GB-Ethernet-USB-Adapter mit integrierter </w:t>
      </w:r>
      <w:proofErr w:type="spellStart"/>
      <w:r>
        <w:rPr>
          <w:rFonts w:ascii="Arial" w:hAnsi="Arial"/>
          <w:color w:val="000000"/>
        </w:rPr>
        <w:t>PoE</w:t>
      </w:r>
      <w:proofErr w:type="spellEnd"/>
      <w:r>
        <w:rPr>
          <w:rFonts w:ascii="Arial" w:hAnsi="Arial"/>
          <w:color w:val="000000"/>
        </w:rPr>
        <w:t>-Funktion entwickelt hat.</w:t>
      </w:r>
    </w:p>
    <w:p w14:paraId="59D9B942" w14:textId="5F76C0DD" w:rsidR="00AF17A6" w:rsidRDefault="00851042">
      <w:pPr>
        <w:pStyle w:val="Textkrper"/>
        <w:spacing w:before="120" w:after="120" w:line="260" w:lineRule="exact"/>
        <w:jc w:val="both"/>
        <w:rPr>
          <w:rFonts w:ascii="Arial" w:hAnsi="Arial"/>
          <w:b w:val="0"/>
          <w:bCs w:val="0"/>
        </w:rPr>
      </w:pPr>
      <w:r>
        <w:rPr>
          <w:rFonts w:ascii="Arial" w:hAnsi="Arial"/>
          <w:b w:val="0"/>
          <w:bCs w:val="0"/>
        </w:rPr>
        <w:t xml:space="preserve">Per Ethernet vernetzte Geräte mit niedriger Leistungsaufnahme </w:t>
      </w:r>
      <w:r w:rsidR="00643C38">
        <w:rPr>
          <w:rFonts w:ascii="Arial" w:hAnsi="Arial"/>
          <w:b w:val="0"/>
          <w:bCs w:val="0"/>
        </w:rPr>
        <w:t xml:space="preserve">(unter 100 W) </w:t>
      </w:r>
      <w:r>
        <w:rPr>
          <w:rFonts w:ascii="Arial" w:hAnsi="Arial"/>
          <w:b w:val="0"/>
          <w:bCs w:val="0"/>
        </w:rPr>
        <w:t>können über „Power-</w:t>
      </w:r>
      <w:proofErr w:type="spellStart"/>
      <w:r>
        <w:rPr>
          <w:rFonts w:ascii="Arial" w:hAnsi="Arial"/>
          <w:b w:val="0"/>
          <w:bCs w:val="0"/>
        </w:rPr>
        <w:t>over</w:t>
      </w:r>
      <w:proofErr w:type="spellEnd"/>
      <w:r>
        <w:rPr>
          <w:rFonts w:ascii="Arial" w:hAnsi="Arial"/>
          <w:b w:val="0"/>
          <w:bCs w:val="0"/>
        </w:rPr>
        <w:t>-Ethernet“ (</w:t>
      </w:r>
      <w:proofErr w:type="spellStart"/>
      <w:r>
        <w:rPr>
          <w:rFonts w:ascii="Arial" w:hAnsi="Arial"/>
          <w:b w:val="0"/>
          <w:bCs w:val="0"/>
        </w:rPr>
        <w:t>PoE</w:t>
      </w:r>
      <w:proofErr w:type="spellEnd"/>
      <w:r>
        <w:rPr>
          <w:rFonts w:ascii="Arial" w:hAnsi="Arial"/>
          <w:b w:val="0"/>
          <w:bCs w:val="0"/>
        </w:rPr>
        <w:t xml:space="preserve">) versorgt werden. Datenübertragung und Stromversorgung werden über ein Netzwerkkabel realisiert. Das Referenzdesign RD022 stellt einen GB-Ethernet-USB-Adapter mit integrierter </w:t>
      </w:r>
      <w:proofErr w:type="spellStart"/>
      <w:r>
        <w:rPr>
          <w:rFonts w:ascii="Arial" w:hAnsi="Arial"/>
          <w:b w:val="0"/>
          <w:bCs w:val="0"/>
        </w:rPr>
        <w:t>PoE</w:t>
      </w:r>
      <w:proofErr w:type="spellEnd"/>
      <w:r>
        <w:rPr>
          <w:rFonts w:ascii="Arial" w:hAnsi="Arial"/>
          <w:b w:val="0"/>
          <w:bCs w:val="0"/>
        </w:rPr>
        <w:t xml:space="preserve">-Funktion </w:t>
      </w:r>
      <w:r w:rsidR="00643C38">
        <w:rPr>
          <w:rFonts w:ascii="Arial" w:hAnsi="Arial"/>
          <w:b w:val="0"/>
          <w:bCs w:val="0"/>
        </w:rPr>
        <w:t xml:space="preserve">bis 25 W </w:t>
      </w:r>
      <w:r>
        <w:rPr>
          <w:rFonts w:ascii="Arial" w:hAnsi="Arial"/>
          <w:b w:val="0"/>
          <w:bCs w:val="0"/>
        </w:rPr>
        <w:t xml:space="preserve">von Würth Elektronik vor. Die jetzt verfügbare </w:t>
      </w:r>
      <w:proofErr w:type="spellStart"/>
      <w:r>
        <w:rPr>
          <w:rFonts w:ascii="Arial" w:hAnsi="Arial"/>
          <w:b w:val="0"/>
          <w:bCs w:val="0"/>
        </w:rPr>
        <w:t>AppNote</w:t>
      </w:r>
      <w:proofErr w:type="spellEnd"/>
      <w:r>
        <w:rPr>
          <w:rFonts w:ascii="Arial" w:hAnsi="Arial"/>
          <w:b w:val="0"/>
          <w:bCs w:val="0"/>
        </w:rPr>
        <w:t xml:space="preserve"> ANP122 beleuchtet dessen elektromagnetisches Verhalten im Detail und gibt Tipps zum Design.</w:t>
      </w:r>
    </w:p>
    <w:p w14:paraId="10A4ECAD" w14:textId="77777777" w:rsidR="00AF17A6" w:rsidRDefault="00851042">
      <w:pPr>
        <w:pStyle w:val="Textkrper"/>
        <w:spacing w:before="120" w:after="120" w:line="260" w:lineRule="exact"/>
        <w:jc w:val="both"/>
        <w:rPr>
          <w:rFonts w:ascii="Arial" w:hAnsi="Arial"/>
        </w:rPr>
      </w:pPr>
      <w:r>
        <w:rPr>
          <w:rFonts w:ascii="Arial" w:hAnsi="Arial"/>
        </w:rPr>
        <w:t>Störungen in den Griff bekommen</w:t>
      </w:r>
    </w:p>
    <w:p w14:paraId="22185834" w14:textId="0E0F83E7" w:rsidR="00AF17A6" w:rsidRDefault="00851042">
      <w:pPr>
        <w:pStyle w:val="Textkrper"/>
        <w:spacing w:before="120" w:after="120" w:line="260" w:lineRule="exact"/>
        <w:jc w:val="both"/>
        <w:rPr>
          <w:rFonts w:ascii="Arial" w:hAnsi="Arial"/>
          <w:b w:val="0"/>
          <w:bCs w:val="0"/>
        </w:rPr>
      </w:pPr>
      <w:r>
        <w:rPr>
          <w:rFonts w:ascii="Arial" w:hAnsi="Arial"/>
          <w:b w:val="0"/>
          <w:bCs w:val="0"/>
        </w:rPr>
        <w:t xml:space="preserve">Die </w:t>
      </w:r>
      <w:proofErr w:type="spellStart"/>
      <w:r>
        <w:rPr>
          <w:rFonts w:ascii="Arial" w:hAnsi="Arial"/>
          <w:b w:val="0"/>
          <w:bCs w:val="0"/>
        </w:rPr>
        <w:t>Application</w:t>
      </w:r>
      <w:proofErr w:type="spellEnd"/>
      <w:r>
        <w:rPr>
          <w:rFonts w:ascii="Arial" w:hAnsi="Arial"/>
          <w:b w:val="0"/>
          <w:bCs w:val="0"/>
        </w:rPr>
        <w:t xml:space="preserve"> Note erläutert die Emissionsmessungen des Referenzdesigns und vergleicht diese mit gängigen Grenzwerten. Wenn das später verwendete Gerät mit </w:t>
      </w:r>
      <w:proofErr w:type="spellStart"/>
      <w:r>
        <w:rPr>
          <w:rFonts w:ascii="Arial" w:hAnsi="Arial"/>
          <w:b w:val="0"/>
          <w:bCs w:val="0"/>
        </w:rPr>
        <w:t>PoE</w:t>
      </w:r>
      <w:proofErr w:type="spellEnd"/>
      <w:r>
        <w:rPr>
          <w:rFonts w:ascii="Arial" w:hAnsi="Arial"/>
          <w:b w:val="0"/>
          <w:bCs w:val="0"/>
        </w:rPr>
        <w:t>-Schnittstelle größere Dimensionen annimmt oder die Sekundärseite geerdet wird, wird für die leitungsgeführte Emission eine zusätzliche Filterung benötigt. Es zeigt sich, dass sowohl die leitungsgeführte wie die gestrahlte Störaussendung vom isolierten Wandler dominiert werden, während die Emission des digitalen Schaltungsteils unbedeutend gering ist.</w:t>
      </w:r>
    </w:p>
    <w:p w14:paraId="1AFC94F1" w14:textId="77777777" w:rsidR="00AF17A6" w:rsidRDefault="00851042">
      <w:pPr>
        <w:pStyle w:val="Textkrper"/>
        <w:spacing w:before="120" w:after="120" w:line="260" w:lineRule="exact"/>
        <w:jc w:val="both"/>
        <w:rPr>
          <w:rFonts w:ascii="Arial" w:hAnsi="Arial"/>
          <w:b w:val="0"/>
          <w:bCs w:val="0"/>
        </w:rPr>
      </w:pPr>
      <w:r>
        <w:rPr>
          <w:rFonts w:ascii="Arial" w:hAnsi="Arial"/>
          <w:b w:val="0"/>
          <w:bCs w:val="0"/>
        </w:rPr>
        <w:t xml:space="preserve">Zur Senkung der Emissionen des Wandlers schlägt die </w:t>
      </w:r>
      <w:proofErr w:type="spellStart"/>
      <w:r>
        <w:rPr>
          <w:rFonts w:ascii="Arial" w:hAnsi="Arial"/>
          <w:b w:val="0"/>
          <w:bCs w:val="0"/>
        </w:rPr>
        <w:t>AppNote</w:t>
      </w:r>
      <w:proofErr w:type="spellEnd"/>
      <w:r>
        <w:rPr>
          <w:rFonts w:ascii="Arial" w:hAnsi="Arial"/>
          <w:b w:val="0"/>
          <w:bCs w:val="0"/>
        </w:rPr>
        <w:t xml:space="preserve"> ein Inselkonzept vor, mit dem sich die Störungen des isolierten Schaltreglers besser kontrollieren lassen.</w:t>
      </w:r>
    </w:p>
    <w:p w14:paraId="66EA910E" w14:textId="2AB29DC9" w:rsidR="00AF17A6" w:rsidRDefault="00851042">
      <w:pPr>
        <w:pStyle w:val="Textkrper"/>
        <w:spacing w:before="120" w:after="120" w:line="260" w:lineRule="exact"/>
        <w:jc w:val="both"/>
        <w:rPr>
          <w:rFonts w:ascii="Arial" w:hAnsi="Arial"/>
          <w:b w:val="0"/>
          <w:bCs w:val="0"/>
        </w:rPr>
      </w:pPr>
      <w:r>
        <w:rPr>
          <w:rFonts w:ascii="Arial" w:hAnsi="Arial"/>
          <w:b w:val="0"/>
          <w:bCs w:val="0"/>
        </w:rPr>
        <w:t>Neben den auf das Referenzdesign bezogenen Ausführungen bietet das Papier auch grundlegende EMV-Betrachtungen von Power-</w:t>
      </w:r>
      <w:proofErr w:type="spellStart"/>
      <w:r>
        <w:rPr>
          <w:rFonts w:ascii="Arial" w:hAnsi="Arial"/>
          <w:b w:val="0"/>
          <w:bCs w:val="0"/>
        </w:rPr>
        <w:t>over</w:t>
      </w:r>
      <w:proofErr w:type="spellEnd"/>
      <w:r>
        <w:rPr>
          <w:rFonts w:ascii="Arial" w:hAnsi="Arial"/>
          <w:b w:val="0"/>
          <w:bCs w:val="0"/>
        </w:rPr>
        <w:t>-Ethernet: EMV-Prüfaufbau, Betriebsparameter, Einfluss der Ausgangsspannung, Ausgangsfilter, Einfluss verschiedener Lastwiderstände, Eingangsfilter, Optimierung leitungsgeführter Störaussendung und Störfestigkeit.</w:t>
      </w:r>
    </w:p>
    <w:p w14:paraId="4FCBA612" w14:textId="104F94D3" w:rsidR="00851042" w:rsidRDefault="00851042">
      <w:pPr>
        <w:rPr>
          <w:rFonts w:ascii="Arial" w:hAnsi="Arial" w:cs="Arial"/>
          <w:sz w:val="20"/>
          <w:szCs w:val="20"/>
        </w:rPr>
      </w:pPr>
      <w:r>
        <w:rPr>
          <w:rFonts w:ascii="Arial" w:hAnsi="Arial"/>
          <w:b/>
          <w:bCs/>
        </w:rPr>
        <w:br w:type="page"/>
      </w:r>
    </w:p>
    <w:p w14:paraId="580D2364" w14:textId="77777777" w:rsidR="00AF17A6" w:rsidRDefault="00AF17A6">
      <w:pPr>
        <w:pStyle w:val="Textkrper"/>
        <w:spacing w:before="120" w:after="120" w:line="260" w:lineRule="exact"/>
        <w:jc w:val="both"/>
        <w:rPr>
          <w:rFonts w:ascii="Arial" w:hAnsi="Arial"/>
          <w:b w:val="0"/>
          <w:bCs w:val="0"/>
        </w:rPr>
      </w:pPr>
    </w:p>
    <w:p w14:paraId="52AECE2A" w14:textId="77777777" w:rsidR="00AF17A6" w:rsidRDefault="00AF17A6">
      <w:pPr>
        <w:pStyle w:val="PITextkrper"/>
        <w:pBdr>
          <w:top w:val="single" w:sz="4" w:space="1" w:color="auto"/>
        </w:pBdr>
        <w:spacing w:before="240"/>
        <w:rPr>
          <w:b/>
          <w:sz w:val="18"/>
          <w:szCs w:val="18"/>
          <w:lang w:val="de-DE"/>
        </w:rPr>
      </w:pPr>
    </w:p>
    <w:p w14:paraId="172801FE" w14:textId="77777777" w:rsidR="00AF17A6" w:rsidRDefault="00851042">
      <w:pPr>
        <w:spacing w:after="120" w:line="280" w:lineRule="exact"/>
        <w:rPr>
          <w:rFonts w:ascii="Arial" w:hAnsi="Arial" w:cs="Arial"/>
          <w:b/>
          <w:bCs/>
          <w:sz w:val="18"/>
          <w:szCs w:val="18"/>
        </w:rPr>
      </w:pPr>
      <w:r>
        <w:rPr>
          <w:rFonts w:ascii="Arial" w:hAnsi="Arial" w:cs="Arial"/>
          <w:b/>
          <w:bCs/>
          <w:sz w:val="18"/>
          <w:szCs w:val="18"/>
        </w:rPr>
        <w:t>Verfügbares Bildmaterial</w:t>
      </w:r>
    </w:p>
    <w:p w14:paraId="74E133DA" w14:textId="77777777" w:rsidR="00AF17A6" w:rsidRDefault="00851042">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2"/>
        <w:gridCol w:w="4218"/>
      </w:tblGrid>
      <w:tr w:rsidR="00AF17A6" w14:paraId="27C3C9F5" w14:textId="77777777">
        <w:trPr>
          <w:trHeight w:val="1701"/>
        </w:trPr>
        <w:tc>
          <w:tcPr>
            <w:tcW w:w="2802" w:type="dxa"/>
          </w:tcPr>
          <w:p w14:paraId="7E8F3671" w14:textId="77777777" w:rsidR="00AF17A6" w:rsidRDefault="00851042">
            <w:pPr>
              <w:pStyle w:val="txt"/>
              <w:rPr>
                <w:b/>
                <w:bCs/>
                <w:sz w:val="18"/>
              </w:rPr>
            </w:pPr>
            <w:r>
              <w:rPr>
                <w:b/>
              </w:rPr>
              <w:br/>
            </w:r>
            <w:r>
              <w:rPr>
                <w:noProof/>
              </w:rPr>
              <w:drawing>
                <wp:inline distT="0" distB="0" distL="0" distR="0" wp14:anchorId="5B7B5E82" wp14:editId="26E5913F">
                  <wp:extent cx="1696085" cy="169608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6085" cy="1696085"/>
                          </a:xfrm>
                          <a:prstGeom prst="rect">
                            <a:avLst/>
                          </a:prstGeom>
                          <a:noFill/>
                          <a:ln>
                            <a:noFill/>
                          </a:ln>
                        </pic:spPr>
                      </pic:pic>
                    </a:graphicData>
                  </a:graphic>
                </wp:inline>
              </w:drawing>
            </w:r>
            <w:r>
              <w:rPr>
                <w:bCs/>
                <w:sz w:val="16"/>
                <w:szCs w:val="16"/>
              </w:rPr>
              <w:t xml:space="preserve">Bildquelle: Würth Elektronik </w:t>
            </w:r>
          </w:p>
          <w:p w14:paraId="57287DD1" w14:textId="77777777" w:rsidR="00AF17A6" w:rsidRDefault="00851042">
            <w:pPr>
              <w:pStyle w:val="txt"/>
              <w:rPr>
                <w:b/>
                <w:bCs/>
                <w:sz w:val="18"/>
                <w:szCs w:val="18"/>
              </w:rPr>
            </w:pPr>
            <w:r>
              <w:rPr>
                <w:b/>
                <w:sz w:val="18"/>
                <w:szCs w:val="18"/>
              </w:rPr>
              <w:t xml:space="preserve">Würth Elektronik veröffentlicht </w:t>
            </w:r>
            <w:proofErr w:type="spellStart"/>
            <w:r>
              <w:rPr>
                <w:b/>
                <w:sz w:val="18"/>
                <w:szCs w:val="18"/>
              </w:rPr>
              <w:t>Application</w:t>
            </w:r>
            <w:proofErr w:type="spellEnd"/>
            <w:r>
              <w:rPr>
                <w:b/>
                <w:sz w:val="18"/>
                <w:szCs w:val="18"/>
              </w:rPr>
              <w:t xml:space="preserve"> Note „Gigabit-Power-</w:t>
            </w:r>
            <w:proofErr w:type="spellStart"/>
            <w:r>
              <w:rPr>
                <w:b/>
                <w:sz w:val="18"/>
                <w:szCs w:val="18"/>
              </w:rPr>
              <w:t>over</w:t>
            </w:r>
            <w:proofErr w:type="spellEnd"/>
            <w:r>
              <w:rPr>
                <w:b/>
                <w:sz w:val="18"/>
                <w:szCs w:val="18"/>
              </w:rPr>
              <w:t>-Ethernet-Schnittstelle unter EMV-Gesichtspunkten“.</w:t>
            </w:r>
            <w:r>
              <w:rPr>
                <w:b/>
                <w:sz w:val="18"/>
                <w:szCs w:val="18"/>
              </w:rPr>
              <w:br/>
            </w:r>
          </w:p>
        </w:tc>
        <w:tc>
          <w:tcPr>
            <w:tcW w:w="4218" w:type="dxa"/>
          </w:tcPr>
          <w:p w14:paraId="476FA300" w14:textId="77777777" w:rsidR="00AF17A6" w:rsidRDefault="00851042">
            <w:pPr>
              <w:pStyle w:val="txt"/>
              <w:rPr>
                <w:bCs/>
                <w:sz w:val="16"/>
                <w:szCs w:val="16"/>
              </w:rPr>
            </w:pPr>
            <w:r>
              <w:rPr>
                <w:b/>
              </w:rPr>
              <w:br/>
            </w:r>
            <w:r>
              <w:rPr>
                <w:noProof/>
              </w:rPr>
              <w:drawing>
                <wp:inline distT="0" distB="0" distL="0" distR="0" wp14:anchorId="5001E691" wp14:editId="73F729DB">
                  <wp:extent cx="2515870" cy="169608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5870" cy="1696085"/>
                          </a:xfrm>
                          <a:prstGeom prst="rect">
                            <a:avLst/>
                          </a:prstGeom>
                          <a:noFill/>
                          <a:ln>
                            <a:noFill/>
                          </a:ln>
                        </pic:spPr>
                      </pic:pic>
                    </a:graphicData>
                  </a:graphic>
                </wp:inline>
              </w:drawing>
            </w:r>
            <w:r>
              <w:rPr>
                <w:bCs/>
                <w:sz w:val="16"/>
                <w:szCs w:val="16"/>
              </w:rPr>
              <w:br/>
              <w:t xml:space="preserve">Bildquelle: Würth Elektronik </w:t>
            </w:r>
          </w:p>
          <w:p w14:paraId="20CD1C4E" w14:textId="77777777" w:rsidR="00AF17A6" w:rsidRDefault="00851042">
            <w:pPr>
              <w:autoSpaceDE w:val="0"/>
              <w:autoSpaceDN w:val="0"/>
              <w:adjustRightInd w:val="0"/>
              <w:rPr>
                <w:rFonts w:ascii="Arial" w:hAnsi="Arial" w:cs="Arial"/>
                <w:b/>
                <w:sz w:val="18"/>
                <w:szCs w:val="18"/>
              </w:rPr>
            </w:pPr>
            <w:r>
              <w:rPr>
                <w:rFonts w:ascii="Arial" w:hAnsi="Arial" w:cs="Arial"/>
                <w:b/>
                <w:sz w:val="18"/>
                <w:szCs w:val="18"/>
              </w:rPr>
              <w:t xml:space="preserve">Die </w:t>
            </w:r>
            <w:proofErr w:type="spellStart"/>
            <w:r>
              <w:rPr>
                <w:rFonts w:ascii="Arial" w:hAnsi="Arial" w:cs="Arial"/>
                <w:b/>
                <w:sz w:val="18"/>
                <w:szCs w:val="18"/>
              </w:rPr>
              <w:t>Application</w:t>
            </w:r>
            <w:proofErr w:type="spellEnd"/>
            <w:r>
              <w:rPr>
                <w:rFonts w:ascii="Arial" w:hAnsi="Arial" w:cs="Arial"/>
                <w:b/>
                <w:sz w:val="18"/>
                <w:szCs w:val="18"/>
              </w:rPr>
              <w:t xml:space="preserve"> Note ANP122 bezieht sich auf das Referenzdesign RD022 von Würth Elektronik.</w:t>
            </w:r>
          </w:p>
          <w:p w14:paraId="77C3A5FD" w14:textId="77777777" w:rsidR="00AF17A6" w:rsidRDefault="00AF17A6">
            <w:pPr>
              <w:pStyle w:val="txt"/>
              <w:rPr>
                <w:b/>
              </w:rPr>
            </w:pPr>
          </w:p>
        </w:tc>
      </w:tr>
    </w:tbl>
    <w:p w14:paraId="1D2776FA" w14:textId="77777777" w:rsidR="00AF17A6" w:rsidRDefault="00AF17A6">
      <w:pPr>
        <w:pStyle w:val="PITextkrper"/>
        <w:rPr>
          <w:b/>
          <w:bCs/>
          <w:sz w:val="18"/>
          <w:szCs w:val="18"/>
          <w:lang w:val="de-DE"/>
        </w:rPr>
      </w:pPr>
    </w:p>
    <w:p w14:paraId="0E0C066D" w14:textId="77777777" w:rsidR="00AF17A6" w:rsidRDefault="00AF17A6">
      <w:pPr>
        <w:pStyle w:val="Textkrper"/>
        <w:spacing w:before="120" w:after="120" w:line="260" w:lineRule="exact"/>
        <w:jc w:val="both"/>
        <w:rPr>
          <w:rFonts w:ascii="Arial" w:hAnsi="Arial"/>
          <w:b w:val="0"/>
          <w:bCs w:val="0"/>
        </w:rPr>
      </w:pPr>
    </w:p>
    <w:p w14:paraId="7E5F4083" w14:textId="77777777" w:rsidR="00AF17A6" w:rsidRDefault="00AF17A6">
      <w:pPr>
        <w:pStyle w:val="PITextkrper"/>
        <w:pBdr>
          <w:top w:val="single" w:sz="4" w:space="1" w:color="auto"/>
        </w:pBdr>
        <w:spacing w:before="240"/>
        <w:rPr>
          <w:b/>
          <w:sz w:val="18"/>
          <w:szCs w:val="18"/>
          <w:lang w:val="de-DE"/>
        </w:rPr>
      </w:pPr>
    </w:p>
    <w:p w14:paraId="273AD548" w14:textId="77777777" w:rsidR="00AF17A6" w:rsidRDefault="00851042">
      <w:pPr>
        <w:pStyle w:val="Textkrper"/>
        <w:spacing w:before="120" w:after="120" w:line="276" w:lineRule="auto"/>
        <w:jc w:val="both"/>
        <w:rPr>
          <w:rFonts w:ascii="Arial" w:hAnsi="Arial"/>
          <w:bCs w:val="0"/>
        </w:rPr>
      </w:pPr>
      <w:r>
        <w:rPr>
          <w:rFonts w:ascii="Arial" w:hAnsi="Arial"/>
          <w:bCs w:val="0"/>
        </w:rPr>
        <w:t>Über die Würth Elektronik eiSos Gruppe</w:t>
      </w:r>
    </w:p>
    <w:p w14:paraId="1714F005" w14:textId="77777777" w:rsidR="00AF17A6" w:rsidRDefault="00851042">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948A086" w14:textId="77777777" w:rsidR="00AF17A6" w:rsidRDefault="00851042">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w:t>
      </w:r>
    </w:p>
    <w:p w14:paraId="1242EAB5" w14:textId="77777777" w:rsidR="00AF17A6" w:rsidRDefault="00851042">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199599AD" w14:textId="77777777" w:rsidR="00134988" w:rsidRDefault="00134988">
      <w:pPr>
        <w:pStyle w:val="Textkrper"/>
        <w:spacing w:before="120" w:after="120" w:line="276" w:lineRule="auto"/>
        <w:jc w:val="both"/>
        <w:rPr>
          <w:rFonts w:ascii="Arial" w:hAnsi="Arial"/>
          <w:b w:val="0"/>
        </w:rPr>
      </w:pPr>
    </w:p>
    <w:p w14:paraId="66060365" w14:textId="77777777" w:rsidR="00134988" w:rsidRDefault="00134988">
      <w:pPr>
        <w:pStyle w:val="Textkrper"/>
        <w:spacing w:before="120" w:after="120" w:line="276" w:lineRule="auto"/>
        <w:jc w:val="both"/>
        <w:rPr>
          <w:rFonts w:ascii="Arial" w:hAnsi="Arial"/>
          <w:b w:val="0"/>
        </w:rPr>
      </w:pPr>
    </w:p>
    <w:p w14:paraId="2C32D3CF" w14:textId="295AC072" w:rsidR="00AF17A6" w:rsidRDefault="00851042">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34F46C90" w14:textId="77777777" w:rsidR="00AF17A6" w:rsidRDefault="00851042">
      <w:pPr>
        <w:pStyle w:val="Textkrper"/>
        <w:spacing w:before="120" w:after="120" w:line="276" w:lineRule="auto"/>
        <w:rPr>
          <w:rFonts w:ascii="Arial" w:hAnsi="Arial"/>
          <w:b w:val="0"/>
          <w:lang w:val="en-GB"/>
        </w:rPr>
      </w:pPr>
      <w:r>
        <w:rPr>
          <w:rFonts w:ascii="Arial" w:hAnsi="Arial"/>
          <w:b w:val="0"/>
          <w:lang w:val="en-GB"/>
        </w:rPr>
        <w:t xml:space="preserve">Würth </w:t>
      </w:r>
      <w:proofErr w:type="spellStart"/>
      <w:r>
        <w:rPr>
          <w:rFonts w:ascii="Arial" w:hAnsi="Arial"/>
          <w:b w:val="0"/>
          <w:lang w:val="en-GB"/>
        </w:rPr>
        <w:t>Elektronik</w:t>
      </w:r>
      <w:proofErr w:type="spellEnd"/>
      <w:r>
        <w:rPr>
          <w:rFonts w:ascii="Arial" w:hAnsi="Arial"/>
          <w:b w:val="0"/>
          <w:lang w:val="en-GB"/>
        </w:rPr>
        <w:t>: more than you expect!</w:t>
      </w:r>
    </w:p>
    <w:p w14:paraId="1FF5AB47" w14:textId="77777777" w:rsidR="00AF17A6" w:rsidRDefault="00851042">
      <w:pPr>
        <w:pStyle w:val="Textkrper"/>
        <w:spacing w:before="120" w:after="120" w:line="276" w:lineRule="auto"/>
        <w:rPr>
          <w:rFonts w:ascii="Arial" w:hAnsi="Arial"/>
        </w:rPr>
      </w:pPr>
      <w:r>
        <w:rPr>
          <w:rFonts w:ascii="Arial" w:hAnsi="Arial"/>
        </w:rPr>
        <w:t>Weitere Informationen unter www.we-online.com</w:t>
      </w:r>
    </w:p>
    <w:p w14:paraId="2EB889E7" w14:textId="77777777" w:rsidR="00AF17A6" w:rsidRDefault="00AF17A6">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F17A6" w14:paraId="6569BFD1" w14:textId="77777777">
        <w:tc>
          <w:tcPr>
            <w:tcW w:w="3902" w:type="dxa"/>
            <w:hideMark/>
          </w:tcPr>
          <w:p w14:paraId="788F24DA" w14:textId="77777777" w:rsidR="00AF17A6" w:rsidRDefault="00851042">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2685B968" w14:textId="77777777" w:rsidR="00AF17A6" w:rsidRDefault="00851042">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73268825" w14:textId="77777777" w:rsidR="00AF17A6" w:rsidRDefault="00851042">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2841EA94" w14:textId="77777777" w:rsidR="00AF17A6" w:rsidRDefault="00851042">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03D1026A" w14:textId="77777777" w:rsidR="00AF17A6" w:rsidRDefault="00851042">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04565D66" w14:textId="77777777" w:rsidR="00AF17A6" w:rsidRDefault="00851042">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0049D113" w14:textId="77777777" w:rsidR="00AF17A6" w:rsidRDefault="00851042">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E-Mail: b.basilio@htcm.de</w:t>
            </w:r>
          </w:p>
          <w:p w14:paraId="2AE6702A" w14:textId="77777777" w:rsidR="00AF17A6" w:rsidRDefault="00851042">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24F0A4DF" w14:textId="77777777" w:rsidR="00AF17A6" w:rsidRDefault="00AF17A6">
      <w:pPr>
        <w:pStyle w:val="Textkrper"/>
        <w:spacing w:before="120" w:after="120" w:line="260" w:lineRule="exact"/>
      </w:pPr>
    </w:p>
    <w:p w14:paraId="3EF1C0B9" w14:textId="77777777" w:rsidR="00AF17A6" w:rsidRDefault="00AF17A6">
      <w:pPr>
        <w:pStyle w:val="Textkrper"/>
        <w:spacing w:before="120" w:after="120" w:line="260" w:lineRule="exact"/>
        <w:jc w:val="both"/>
        <w:rPr>
          <w:rFonts w:ascii="Calibri" w:hAnsi="Calibri" w:cs="Calibri"/>
          <w:sz w:val="22"/>
          <w:szCs w:val="22"/>
        </w:rPr>
      </w:pPr>
    </w:p>
    <w:sectPr w:rsidR="00AF17A6">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0EF9" w14:textId="77777777" w:rsidR="00AF17A6" w:rsidRDefault="00851042">
      <w:r>
        <w:separator/>
      </w:r>
    </w:p>
  </w:endnote>
  <w:endnote w:type="continuationSeparator" w:id="0">
    <w:p w14:paraId="0B6F6AE2" w14:textId="77777777" w:rsidR="00AF17A6" w:rsidRDefault="0085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A5FE" w14:textId="26F3E212" w:rsidR="00AF17A6" w:rsidRDefault="00851042">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WTH1PI1295.docx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A1140" w14:textId="77777777" w:rsidR="00AF17A6" w:rsidRDefault="00851042">
      <w:r>
        <w:separator/>
      </w:r>
    </w:p>
  </w:footnote>
  <w:footnote w:type="continuationSeparator" w:id="0">
    <w:p w14:paraId="50EFE846" w14:textId="77777777" w:rsidR="00AF17A6" w:rsidRDefault="00851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8B39" w14:textId="77777777" w:rsidR="00AF17A6" w:rsidRDefault="00851042">
    <w:pPr>
      <w:pStyle w:val="Kopfzeile"/>
      <w:tabs>
        <w:tab w:val="clear" w:pos="9072"/>
        <w:tab w:val="right" w:pos="9498"/>
      </w:tabs>
    </w:pPr>
    <w:r>
      <w:rPr>
        <w:noProof/>
      </w:rPr>
      <w:drawing>
        <wp:anchor distT="0" distB="0" distL="114300" distR="114300" simplePos="0" relativeHeight="251657728" behindDoc="1" locked="0" layoutInCell="0" allowOverlap="1" wp14:anchorId="43656BFC" wp14:editId="24EC766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7913024">
    <w:abstractNumId w:val="4"/>
  </w:num>
  <w:num w:numId="2" w16cid:durableId="431434142">
    <w:abstractNumId w:val="1"/>
  </w:num>
  <w:num w:numId="3" w16cid:durableId="1243756761">
    <w:abstractNumId w:val="2"/>
  </w:num>
  <w:num w:numId="4" w16cid:durableId="1855148106">
    <w:abstractNumId w:val="3"/>
  </w:num>
  <w:num w:numId="5" w16cid:durableId="116184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7A6"/>
    <w:rsid w:val="00105203"/>
    <w:rsid w:val="00134988"/>
    <w:rsid w:val="00482FB7"/>
    <w:rsid w:val="00643C38"/>
    <w:rsid w:val="006E6F24"/>
    <w:rsid w:val="00851042"/>
    <w:rsid w:val="00AF17A6"/>
    <w:rsid w:val="00E25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5B1D8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support/wissen/application-notes?d=anp122-gigabit-poe-schnittstell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support/wissen/application-notes?d=rd022-gb-poe-ethernet-usb-adapt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8E480-954F-4363-8A00-7BD3AC13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4207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4679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2023-11-13T14:49:00Z</dcterms:created>
  <dcterms:modified xsi:type="dcterms:W3CDTF">2023-11-13T14:50:00Z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