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5537" w14:textId="77777777" w:rsidR="006D76CA" w:rsidRDefault="004950E5">
      <w:pPr>
        <w:pStyle w:val="berschrift1"/>
        <w:spacing w:before="720" w:after="720" w:line="260" w:lineRule="exact"/>
        <w:rPr>
          <w:sz w:val="20"/>
          <w:lang w:bidi="it-IT"/>
        </w:rPr>
      </w:pPr>
      <w:r>
        <w:rPr>
          <w:sz w:val="20"/>
          <w:lang w:bidi="it-IT"/>
        </w:rPr>
        <w:t>MEDIENINFORMATION</w:t>
      </w:r>
    </w:p>
    <w:p w14:paraId="2936CBDD" w14:textId="77777777" w:rsidR="006D76CA" w:rsidRDefault="004950E5">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Board-</w:t>
      </w:r>
      <w:proofErr w:type="spellStart"/>
      <w:r>
        <w:rPr>
          <w:rFonts w:ascii="Arial" w:hAnsi="Arial" w:cs="Arial"/>
          <w:b/>
          <w:bCs/>
        </w:rPr>
        <w:t>to</w:t>
      </w:r>
      <w:proofErr w:type="spellEnd"/>
      <w:r>
        <w:rPr>
          <w:rFonts w:ascii="Arial" w:hAnsi="Arial" w:cs="Arial"/>
          <w:b/>
          <w:bCs/>
        </w:rPr>
        <w:t>-Board-Connector-Familie jetzt halogenfrei</w:t>
      </w:r>
    </w:p>
    <w:p w14:paraId="3637AF8F" w14:textId="77777777" w:rsidR="006D76CA" w:rsidRDefault="004950E5">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Mezzanine-Board-Verbinder als halogenfrei zertifiziert</w:t>
      </w:r>
    </w:p>
    <w:p w14:paraId="1156C55D" w14:textId="22D46BD7" w:rsidR="006D76CA" w:rsidRDefault="004950E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74946">
        <w:rPr>
          <w:rFonts w:ascii="Arial" w:hAnsi="Arial"/>
          <w:color w:val="000000"/>
        </w:rPr>
        <w:t>8. November</w:t>
      </w:r>
      <w:r>
        <w:rPr>
          <w:rFonts w:ascii="Arial" w:hAnsi="Arial"/>
          <w:color w:val="000000"/>
        </w:rPr>
        <w:t xml:space="preserve"> 2023 – Würth Elektronik stellt die Steckverbinder seiner Produktfamilie </w:t>
      </w:r>
      <w:hyperlink r:id="rId8" w:history="1">
        <w:r>
          <w:rPr>
            <w:rStyle w:val="Hyperlink"/>
            <w:rFonts w:ascii="Arial" w:hAnsi="Arial"/>
          </w:rPr>
          <w:t>WR-BTB</w:t>
        </w:r>
      </w:hyperlink>
      <w:r>
        <w:rPr>
          <w:rFonts w:ascii="Arial" w:hAnsi="Arial"/>
          <w:color w:val="000000"/>
        </w:rPr>
        <w:t xml:space="preserve"> jetzt aus garantiert halogenfreiem Kunststoff her. Die als Datenleiter dienenden </w:t>
      </w:r>
      <w:proofErr w:type="spellStart"/>
      <w:r>
        <w:rPr>
          <w:rFonts w:ascii="Arial" w:hAnsi="Arial"/>
          <w:color w:val="000000"/>
        </w:rPr>
        <w:t>Platinenverbinder</w:t>
      </w:r>
      <w:proofErr w:type="spellEnd"/>
      <w:r>
        <w:rPr>
          <w:rFonts w:ascii="Arial" w:hAnsi="Arial"/>
          <w:color w:val="000000"/>
        </w:rPr>
        <w:t xml:space="preserve"> sind umweltfreundlicher als konventionelle </w:t>
      </w:r>
      <w:proofErr w:type="gramStart"/>
      <w:r>
        <w:rPr>
          <w:rFonts w:ascii="Arial" w:hAnsi="Arial"/>
          <w:color w:val="000000"/>
        </w:rPr>
        <w:t>BTBs</w:t>
      </w:r>
      <w:proofErr w:type="gramEnd"/>
      <w:r>
        <w:rPr>
          <w:rFonts w:ascii="Arial" w:hAnsi="Arial"/>
          <w:color w:val="000000"/>
        </w:rPr>
        <w:t xml:space="preserve"> ohne dass Einbußen hinsichtlich der Festigkeit des Kunststoffs, des elektrischen Widerstands, der Temperaturbeständigkeit bei der Leiterplattenmontage oder der Brandschutzklasse hinzunehmen wären.</w:t>
      </w:r>
    </w:p>
    <w:p w14:paraId="48DE2E0B" w14:textId="77777777" w:rsidR="006D76CA" w:rsidRDefault="004950E5">
      <w:pPr>
        <w:pStyle w:val="Textkrper"/>
        <w:spacing w:before="120" w:after="120" w:line="260" w:lineRule="exact"/>
        <w:jc w:val="both"/>
        <w:rPr>
          <w:rFonts w:ascii="Arial" w:hAnsi="Arial"/>
          <w:b w:val="0"/>
          <w:bCs w:val="0"/>
        </w:rPr>
      </w:pPr>
      <w:r>
        <w:rPr>
          <w:rFonts w:ascii="Arial" w:hAnsi="Arial"/>
          <w:b w:val="0"/>
          <w:bCs w:val="0"/>
        </w:rPr>
        <w:t>Die SMT-bestückbaren Signalsteckverbinder von Würth Elektronik sind in Varianten mit 40, 64, 80 oder 100 Pins erhältlich. Die Modelle mit 0,8- und 1-mm-Raster sind zudem in verschiedenen Höhen verfügbar. Diverse männliche und weibliche Stecker können kombiniert werden, um durch die Verwendung der stabilen Board-</w:t>
      </w:r>
      <w:proofErr w:type="spellStart"/>
      <w:r>
        <w:rPr>
          <w:rFonts w:ascii="Arial" w:hAnsi="Arial"/>
          <w:b w:val="0"/>
          <w:bCs w:val="0"/>
        </w:rPr>
        <w:t>to</w:t>
      </w:r>
      <w:proofErr w:type="spellEnd"/>
      <w:r>
        <w:rPr>
          <w:rFonts w:ascii="Arial" w:hAnsi="Arial"/>
          <w:b w:val="0"/>
          <w:bCs w:val="0"/>
        </w:rPr>
        <w:t>-Board-Konnektoren genau definierte Abstände zwischen zwei Platinen zu erreichen – rein mechanische Abstandshalter können so unter Umständen eingespart werden.</w:t>
      </w:r>
    </w:p>
    <w:p w14:paraId="0E992AC0" w14:textId="047C1725" w:rsidR="006D76CA" w:rsidRDefault="004950E5">
      <w:pPr>
        <w:pStyle w:val="Textkrper"/>
        <w:spacing w:before="120" w:after="120" w:line="260" w:lineRule="exact"/>
        <w:jc w:val="both"/>
        <w:rPr>
          <w:rFonts w:ascii="Arial" w:hAnsi="Arial"/>
          <w:bCs w:val="0"/>
        </w:rPr>
      </w:pPr>
      <w:r>
        <w:rPr>
          <w:rFonts w:ascii="Arial" w:hAnsi="Arial"/>
          <w:b w:val="0"/>
          <w:bCs w:val="0"/>
        </w:rPr>
        <w:t>Die halogenfreien Steckverbinder sind bei Würth Elektronik ab Lager verfügbar, kostenlose Muster können angefordert werden.</w:t>
      </w:r>
      <w:r>
        <w:rPr>
          <w:rFonts w:ascii="Arial" w:hAnsi="Arial"/>
          <w:bCs w:val="0"/>
        </w:rPr>
        <w:t xml:space="preserve"> </w:t>
      </w:r>
    </w:p>
    <w:p w14:paraId="2509B78E" w14:textId="77777777" w:rsidR="006D76CA" w:rsidRDefault="006D76CA" w:rsidP="009701C1">
      <w:pPr>
        <w:pStyle w:val="Textkrper"/>
        <w:spacing w:before="120" w:after="120"/>
        <w:jc w:val="both"/>
        <w:rPr>
          <w:rFonts w:ascii="Arial" w:hAnsi="Arial"/>
          <w:b w:val="0"/>
          <w:bCs w:val="0"/>
        </w:rPr>
      </w:pPr>
    </w:p>
    <w:p w14:paraId="00D39815" w14:textId="77777777" w:rsidR="006D76CA" w:rsidRDefault="006D76CA">
      <w:pPr>
        <w:pStyle w:val="PITextkrper"/>
        <w:pBdr>
          <w:top w:val="single" w:sz="4" w:space="1" w:color="auto"/>
        </w:pBdr>
        <w:spacing w:after="0" w:line="240" w:lineRule="auto"/>
        <w:rPr>
          <w:b/>
          <w:sz w:val="18"/>
          <w:szCs w:val="18"/>
          <w:lang w:val="de-DE"/>
        </w:rPr>
      </w:pPr>
    </w:p>
    <w:p w14:paraId="507E1AC5" w14:textId="77777777" w:rsidR="006D76CA" w:rsidRDefault="004950E5">
      <w:pPr>
        <w:spacing w:after="120" w:line="280" w:lineRule="exact"/>
        <w:rPr>
          <w:rFonts w:ascii="Arial" w:hAnsi="Arial" w:cs="Arial"/>
          <w:b/>
          <w:bCs/>
          <w:sz w:val="18"/>
          <w:szCs w:val="18"/>
        </w:rPr>
      </w:pPr>
      <w:r>
        <w:rPr>
          <w:rFonts w:ascii="Arial" w:hAnsi="Arial" w:cs="Arial"/>
          <w:b/>
          <w:bCs/>
          <w:sz w:val="18"/>
          <w:szCs w:val="18"/>
        </w:rPr>
        <w:t>Verfügbares Bildmaterial</w:t>
      </w:r>
    </w:p>
    <w:p w14:paraId="10D5D9CD" w14:textId="77777777" w:rsidR="006D76CA" w:rsidRDefault="004950E5">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D76CA" w14:paraId="6E6DDF7F" w14:textId="77777777">
        <w:trPr>
          <w:trHeight w:val="416"/>
        </w:trPr>
        <w:tc>
          <w:tcPr>
            <w:tcW w:w="3510" w:type="dxa"/>
          </w:tcPr>
          <w:p w14:paraId="7711516E" w14:textId="47CE98C4" w:rsidR="004950E5" w:rsidRPr="004950E5" w:rsidRDefault="004950E5" w:rsidP="004950E5">
            <w:pPr>
              <w:pStyle w:val="txt"/>
            </w:pPr>
            <w:r>
              <w:rPr>
                <w:b/>
                <w:bCs/>
                <w:sz w:val="18"/>
              </w:rPr>
              <w:br/>
            </w:r>
            <w:r>
              <w:rPr>
                <w:b/>
                <w:bCs/>
                <w:noProof/>
                <w:sz w:val="18"/>
              </w:rPr>
              <w:drawing>
                <wp:inline distT="0" distB="0" distL="0" distR="0" wp14:anchorId="1C8ABA3B" wp14:editId="751D281C">
                  <wp:extent cx="1755000" cy="1404000"/>
                  <wp:effectExtent l="0" t="0" r="0" b="5715"/>
                  <wp:docPr id="1" name="Bild 1" descr="WR-BTB_6588011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BTB_658801103040"/>
                          <pic:cNvPicPr>
                            <a:picLocks noChangeAspect="1" noChangeArrowheads="1"/>
                          </pic:cNvPicPr>
                        </pic:nvPicPr>
                        <pic:blipFill>
                          <a:blip r:embed="rId10">
                            <a:extLst>
                              <a:ext uri="{28A0092B-C50C-407E-A947-70E740481C1C}">
                                <a14:useLocalDpi xmlns:a14="http://schemas.microsoft.com/office/drawing/2010/main" val="0"/>
                              </a:ext>
                            </a:extLst>
                          </a:blip>
                          <a:srcRect t="3311"/>
                          <a:stretch>
                            <a:fillRect/>
                          </a:stretch>
                        </pic:blipFill>
                        <pic:spPr bwMode="auto">
                          <a:xfrm>
                            <a:off x="0" y="0"/>
                            <a:ext cx="1755000" cy="1404000"/>
                          </a:xfrm>
                          <a:prstGeom prst="rect">
                            <a:avLst/>
                          </a:prstGeom>
                          <a:noFill/>
                          <a:ln>
                            <a:noFill/>
                          </a:ln>
                        </pic:spPr>
                      </pic:pic>
                    </a:graphicData>
                  </a:graphic>
                </wp:inline>
              </w:drawing>
            </w:r>
            <w:r>
              <w:rPr>
                <w:b/>
                <w:bCs/>
                <w:sz w:val="18"/>
              </w:rPr>
              <w:br/>
            </w:r>
            <w:r>
              <w:rPr>
                <w:bCs/>
                <w:sz w:val="16"/>
                <w:szCs w:val="16"/>
              </w:rPr>
              <w:t>Bildquelle: Würth Elektronik</w:t>
            </w:r>
            <w:r>
              <w:rPr>
                <w:bCs/>
                <w:sz w:val="16"/>
                <w:szCs w:val="16"/>
              </w:rPr>
              <w:br/>
            </w:r>
            <w:r>
              <w:rPr>
                <w:bCs/>
                <w:sz w:val="16"/>
                <w:szCs w:val="16"/>
              </w:rPr>
              <w:br/>
            </w:r>
            <w:r>
              <w:rPr>
                <w:b/>
                <w:sz w:val="18"/>
                <w:szCs w:val="18"/>
              </w:rPr>
              <w:t>WR</w:t>
            </w:r>
            <w:r>
              <w:rPr>
                <w:b/>
                <w:sz w:val="18"/>
                <w:szCs w:val="18"/>
              </w:rPr>
              <w:noBreakHyphen/>
              <w:t>BTB – die Signalsteckverbinder sind nachweislich halogenfrei</w:t>
            </w:r>
          </w:p>
        </w:tc>
      </w:tr>
    </w:tbl>
    <w:p w14:paraId="0823F2C4" w14:textId="77777777" w:rsidR="006D76CA" w:rsidRDefault="006D76CA">
      <w:pPr>
        <w:pStyle w:val="Textkrper"/>
        <w:spacing w:before="120" w:after="120" w:line="260" w:lineRule="exact"/>
        <w:jc w:val="both"/>
        <w:rPr>
          <w:rFonts w:ascii="Arial" w:hAnsi="Arial"/>
          <w:b w:val="0"/>
          <w:bCs w:val="0"/>
        </w:rPr>
      </w:pPr>
    </w:p>
    <w:p w14:paraId="662504C5" w14:textId="77777777" w:rsidR="006D76CA" w:rsidRDefault="006D76CA">
      <w:pPr>
        <w:pStyle w:val="PITextkrper"/>
        <w:pBdr>
          <w:top w:val="single" w:sz="4" w:space="1" w:color="auto"/>
        </w:pBdr>
        <w:spacing w:before="240"/>
        <w:rPr>
          <w:b/>
          <w:sz w:val="18"/>
          <w:szCs w:val="18"/>
          <w:lang w:val="de-DE"/>
        </w:rPr>
      </w:pPr>
    </w:p>
    <w:p w14:paraId="3534E2EB" w14:textId="77777777" w:rsidR="006D76CA" w:rsidRDefault="004950E5">
      <w:pPr>
        <w:pStyle w:val="Textkrper"/>
        <w:spacing w:before="120" w:after="120" w:line="276" w:lineRule="auto"/>
        <w:jc w:val="both"/>
        <w:rPr>
          <w:rFonts w:ascii="Arial" w:hAnsi="Arial"/>
          <w:bCs w:val="0"/>
        </w:rPr>
      </w:pPr>
      <w:r>
        <w:rPr>
          <w:rFonts w:ascii="Arial" w:hAnsi="Arial"/>
          <w:bCs w:val="0"/>
        </w:rPr>
        <w:t>Über die Würth Elektronik eiSos Gruppe</w:t>
      </w:r>
    </w:p>
    <w:p w14:paraId="48F213AF" w14:textId="77777777" w:rsidR="006D76CA" w:rsidRDefault="004950E5">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9E9F0E7" w14:textId="77777777" w:rsidR="006D76CA" w:rsidRDefault="004950E5">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6ECB769A" w14:textId="77777777" w:rsidR="006D76CA" w:rsidRDefault="004950E5">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E91E3FD" w14:textId="77777777" w:rsidR="006D76CA" w:rsidRDefault="004950E5">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0DE42613" w14:textId="77777777" w:rsidR="006D76CA" w:rsidRDefault="004950E5">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04954D1F" w14:textId="77777777" w:rsidR="006D76CA" w:rsidRDefault="004950E5">
      <w:pPr>
        <w:pStyle w:val="Textkrper"/>
        <w:spacing w:before="120" w:after="120" w:line="276" w:lineRule="auto"/>
        <w:rPr>
          <w:rFonts w:ascii="Arial" w:hAnsi="Arial"/>
        </w:rPr>
      </w:pPr>
      <w:r>
        <w:rPr>
          <w:rFonts w:ascii="Arial" w:hAnsi="Arial"/>
        </w:rPr>
        <w:t>Weitere Informationen unter www.we-online.com</w:t>
      </w:r>
    </w:p>
    <w:p w14:paraId="6EBC43CC" w14:textId="77777777" w:rsidR="006D76CA" w:rsidRDefault="006D76CA">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D76CA" w14:paraId="6F67BCE7" w14:textId="77777777">
        <w:tc>
          <w:tcPr>
            <w:tcW w:w="3902" w:type="dxa"/>
            <w:hideMark/>
          </w:tcPr>
          <w:p w14:paraId="4781E963" w14:textId="77777777" w:rsidR="006D76CA" w:rsidRDefault="004950E5">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DE3539A" w14:textId="77777777" w:rsidR="006D76CA" w:rsidRDefault="004950E5">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750B3693" w14:textId="77777777" w:rsidR="006D76CA" w:rsidRDefault="004950E5">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4A399A5D" w14:textId="77777777" w:rsidR="006D76CA" w:rsidRDefault="004950E5">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EE3D075" w14:textId="77777777" w:rsidR="006D76CA" w:rsidRDefault="004950E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4C0D6D9" w14:textId="77777777" w:rsidR="006D76CA" w:rsidRDefault="004950E5">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4FEFB1B" w14:textId="77777777" w:rsidR="006D76CA" w:rsidRDefault="004950E5">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14F3FE19" w14:textId="77777777" w:rsidR="006D76CA" w:rsidRDefault="004950E5">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9C6D01E" w14:textId="77777777" w:rsidR="006D76CA" w:rsidRDefault="006D76CA">
      <w:pPr>
        <w:pStyle w:val="Textkrper"/>
        <w:spacing w:before="120" w:after="120" w:line="260" w:lineRule="exact"/>
      </w:pPr>
    </w:p>
    <w:p w14:paraId="5B2B05CF" w14:textId="77777777" w:rsidR="006D76CA" w:rsidRDefault="006D76CA">
      <w:pPr>
        <w:pStyle w:val="Textkrper"/>
        <w:spacing w:before="120" w:after="120" w:line="260" w:lineRule="exact"/>
        <w:jc w:val="both"/>
        <w:rPr>
          <w:rFonts w:asciiTheme="minorHAnsi" w:hAnsiTheme="minorHAnsi" w:cstheme="minorHAnsi"/>
          <w:sz w:val="22"/>
          <w:szCs w:val="22"/>
        </w:rPr>
      </w:pPr>
    </w:p>
    <w:sectPr w:rsidR="006D76C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27A0" w14:textId="77777777" w:rsidR="006D76CA" w:rsidRDefault="004950E5">
      <w:r>
        <w:separator/>
      </w:r>
    </w:p>
  </w:endnote>
  <w:endnote w:type="continuationSeparator" w:id="0">
    <w:p w14:paraId="335A8C96" w14:textId="77777777" w:rsidR="006D76CA" w:rsidRDefault="0049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6CBE" w14:textId="00630727" w:rsidR="006D76CA" w:rsidRDefault="004950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WTH1PI1360.docx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FFD5" w14:textId="77777777" w:rsidR="006D76CA" w:rsidRDefault="004950E5">
      <w:r>
        <w:separator/>
      </w:r>
    </w:p>
  </w:footnote>
  <w:footnote w:type="continuationSeparator" w:id="0">
    <w:p w14:paraId="51A6A91F" w14:textId="77777777" w:rsidR="006D76CA" w:rsidRDefault="0049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43FB" w14:textId="77777777" w:rsidR="006D76CA" w:rsidRDefault="004950E5">
    <w:pPr>
      <w:pStyle w:val="Kopfzeile"/>
      <w:tabs>
        <w:tab w:val="clear" w:pos="9072"/>
        <w:tab w:val="right" w:pos="9498"/>
      </w:tabs>
    </w:pPr>
    <w:r>
      <w:rPr>
        <w:noProof/>
      </w:rPr>
      <w:drawing>
        <wp:anchor distT="0" distB="0" distL="114300" distR="114300" simplePos="0" relativeHeight="251657728" behindDoc="1" locked="0" layoutInCell="0" allowOverlap="1" wp14:anchorId="092E4A10" wp14:editId="4FDC009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694809">
    <w:abstractNumId w:val="4"/>
  </w:num>
  <w:num w:numId="2" w16cid:durableId="922450013">
    <w:abstractNumId w:val="1"/>
  </w:num>
  <w:num w:numId="3" w16cid:durableId="1970085608">
    <w:abstractNumId w:val="2"/>
  </w:num>
  <w:num w:numId="4" w16cid:durableId="78136817">
    <w:abstractNumId w:val="3"/>
  </w:num>
  <w:num w:numId="5" w16cid:durableId="7624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CA"/>
    <w:rsid w:val="002009E8"/>
    <w:rsid w:val="00474946"/>
    <w:rsid w:val="004950E5"/>
    <w:rsid w:val="006D76CA"/>
    <w:rsid w:val="009701C1"/>
    <w:rsid w:val="00BA2081"/>
    <w:rsid w:val="00F40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FDA3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020172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board-to-board_connectors/wr-btb_board_to_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2CF6-3B30-4B4D-9A46-FC536F49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3035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2023-11-08T09:57:00Z</dcterms:created>
  <dcterms:modified xsi:type="dcterms:W3CDTF">2023-11-08T09:58:00Z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