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0EF673" w14:textId="77777777" w:rsidR="000B24B6" w:rsidRDefault="0078586D">
      <w:pPr>
        <w:pStyle w:val="berschrift1"/>
        <w:spacing w:before="720" w:after="720" w:line="260" w:lineRule="exact"/>
        <w:rPr>
          <w:sz w:val="20"/>
        </w:rPr>
      </w:pPr>
      <w:r>
        <w:rPr>
          <w:sz w:val="20"/>
        </w:rPr>
        <w:t>COMUNICADO DE PRENSA</w:t>
      </w:r>
    </w:p>
    <w:p w14:paraId="5D117663" w14:textId="77777777" w:rsidR="000B24B6" w:rsidRDefault="0078586D">
      <w:pPr>
        <w:pStyle w:val="Kopfzeile"/>
        <w:tabs>
          <w:tab w:val="clear" w:pos="4536"/>
          <w:tab w:val="clear" w:pos="9072"/>
        </w:tabs>
        <w:spacing w:before="120" w:after="120" w:line="360" w:lineRule="exact"/>
        <w:outlineLvl w:val="0"/>
        <w:rPr>
          <w:rFonts w:ascii="Arial" w:hAnsi="Arial" w:cs="Arial"/>
          <w:b/>
          <w:bCs/>
        </w:rPr>
      </w:pPr>
      <w:r>
        <w:rPr>
          <w:rFonts w:ascii="Arial" w:hAnsi="Arial"/>
          <w:b/>
        </w:rPr>
        <w:t>Würth Elektronik publica una Nota de Aplicación sobre los optoacopladores</w:t>
      </w:r>
    </w:p>
    <w:p w14:paraId="01F7A14A" w14:textId="0B15B433" w:rsidR="000B24B6" w:rsidRDefault="0078586D">
      <w:pPr>
        <w:pStyle w:val="Kopfzeile"/>
        <w:tabs>
          <w:tab w:val="clear" w:pos="4536"/>
          <w:tab w:val="clear" w:pos="9072"/>
        </w:tabs>
        <w:spacing w:before="360" w:after="360"/>
        <w:rPr>
          <w:rFonts w:ascii="Arial" w:hAnsi="Arial" w:cs="Arial"/>
          <w:b/>
          <w:bCs/>
          <w:color w:val="000000"/>
          <w:sz w:val="36"/>
        </w:rPr>
      </w:pPr>
      <w:r>
        <w:rPr>
          <w:rFonts w:ascii="Arial" w:hAnsi="Arial"/>
          <w:b/>
          <w:color w:val="000000"/>
          <w:sz w:val="36"/>
        </w:rPr>
        <w:t>Fundamentos para el uso de optoacopladores con fototransistor</w:t>
      </w:r>
    </w:p>
    <w:p w14:paraId="13F347E3" w14:textId="2B20E2EC" w:rsidR="000B24B6" w:rsidRDefault="0078586D">
      <w:pPr>
        <w:pStyle w:val="Textkrper"/>
        <w:spacing w:before="120" w:after="120" w:line="260" w:lineRule="exact"/>
        <w:jc w:val="both"/>
        <w:rPr>
          <w:rFonts w:ascii="Arial" w:hAnsi="Arial"/>
          <w:color w:val="000000"/>
        </w:rPr>
      </w:pPr>
      <w:r>
        <w:rPr>
          <w:rFonts w:ascii="Arial" w:hAnsi="Arial"/>
          <w:color w:val="000000"/>
        </w:rPr>
        <w:t xml:space="preserve">Waldenburg (Alemania), </w:t>
      </w:r>
      <w:r w:rsidR="00D77153">
        <w:rPr>
          <w:rFonts w:ascii="Arial" w:hAnsi="Arial"/>
          <w:color w:val="000000"/>
        </w:rPr>
        <w:t>19 de octubre</w:t>
      </w:r>
      <w:r>
        <w:rPr>
          <w:rFonts w:ascii="Arial" w:hAnsi="Arial"/>
          <w:color w:val="000000"/>
        </w:rPr>
        <w:t xml:space="preserve"> 2023 – Würth Elektronik amplía su colección de </w:t>
      </w:r>
      <w:r w:rsidRPr="00D77153">
        <w:rPr>
          <w:rFonts w:ascii="Arial" w:hAnsi="Arial"/>
          <w:color w:val="000000"/>
        </w:rPr>
        <w:t>textos de apoyo a los diseñadores de electrónica con la Nota de Aplicación ANO007 «Conceptos básicos del optoacoplador fototransistor». (</w:t>
      </w:r>
      <w:r w:rsidR="00150C71">
        <w:rPr>
          <w:rStyle w:val="Hyperlink"/>
          <w:rFonts w:ascii="Arial" w:hAnsi="Arial"/>
        </w:rPr>
        <w:fldChar w:fldCharType="begin"/>
      </w:r>
      <w:r w:rsidR="00150C71">
        <w:rPr>
          <w:rStyle w:val="Hyperlink"/>
          <w:rFonts w:ascii="Arial" w:hAnsi="Arial"/>
        </w:rPr>
        <w:instrText>HYPERLINK "https://www.we-online.com/en/support/knowledge/application-notes?d=ano007-understanding-optocouplers"</w:instrText>
      </w:r>
      <w:r w:rsidR="00150C71">
        <w:rPr>
          <w:rStyle w:val="Hyperlink"/>
          <w:rFonts w:ascii="Arial" w:hAnsi="Arial"/>
        </w:rPr>
      </w:r>
      <w:r w:rsidR="00150C71">
        <w:rPr>
          <w:rStyle w:val="Hyperlink"/>
          <w:rFonts w:ascii="Arial" w:hAnsi="Arial"/>
        </w:rPr>
        <w:fldChar w:fldCharType="separate"/>
      </w:r>
      <w:r w:rsidRPr="00150C71">
        <w:rPr>
          <w:rStyle w:val="Hyperlink"/>
          <w:rFonts w:ascii="Arial" w:hAnsi="Arial"/>
        </w:rPr>
        <w:t>www.we-online.com/ANO007</w:t>
      </w:r>
      <w:r w:rsidR="00150C71">
        <w:rPr>
          <w:rStyle w:val="Hyperlink"/>
          <w:rFonts w:ascii="Arial" w:hAnsi="Arial"/>
        </w:rPr>
        <w:fldChar w:fldCharType="end"/>
      </w:r>
      <w:r w:rsidRPr="00D77153">
        <w:rPr>
          <w:rFonts w:ascii="Arial" w:hAnsi="Arial"/>
          <w:color w:val="000000"/>
        </w:rPr>
        <w:t>). Los optoacopladores, también llamados fotoacopladores u optoaisladores, son componentes que transmiten una señal eléctrica mediante acoplamiento óptico entre dos circuitos aislados galvánicamente. Para desarrollar aplicaciones</w:t>
      </w:r>
      <w:r>
        <w:rPr>
          <w:rFonts w:ascii="Arial" w:hAnsi="Arial"/>
          <w:color w:val="000000"/>
        </w:rPr>
        <w:t xml:space="preserve"> fiables con optoacopladores es fundamental comprender y tener en cuenta no solo sus parámetros principales. También debe valorarse el impacto potencial de sus elementos parásitos. Es esencial una comprensión profunda de estos aspectos, así como la consideración precisa de las tolerancias, las desviaciones y las interdependencias. La nueva Aplication Note parte de lo básico y ofrece amplios resultados experimentales con los optoacopladores </w:t>
      </w:r>
      <w:hyperlink r:id="rId8" w:history="1">
        <w:r>
          <w:rPr>
            <w:rStyle w:val="Hyperlink"/>
            <w:rFonts w:ascii="Arial" w:hAnsi="Arial"/>
          </w:rPr>
          <w:t>WL-OCPT</w:t>
        </w:r>
      </w:hyperlink>
      <w:r>
        <w:rPr>
          <w:rFonts w:ascii="Arial" w:hAnsi="Arial"/>
          <w:color w:val="000000"/>
        </w:rPr>
        <w:t xml:space="preserve"> de Würth Elektronik. </w:t>
      </w:r>
    </w:p>
    <w:p w14:paraId="77198530" w14:textId="2455174C" w:rsidR="000B24B6" w:rsidRDefault="0078586D">
      <w:pPr>
        <w:pStyle w:val="Textkrper"/>
        <w:spacing w:before="120" w:after="120" w:line="260" w:lineRule="exact"/>
        <w:jc w:val="both"/>
        <w:rPr>
          <w:rFonts w:ascii="Arial" w:hAnsi="Arial"/>
          <w:b w:val="0"/>
          <w:bCs w:val="0"/>
          <w:color w:val="000000"/>
        </w:rPr>
      </w:pPr>
      <w:r>
        <w:rPr>
          <w:rFonts w:ascii="Arial" w:hAnsi="Arial"/>
          <w:b w:val="0"/>
          <w:color w:val="000000"/>
        </w:rPr>
        <w:t>Los optoacopladores ofrecen elevados valores de aislamiento (5 kV) en un encapsulado muy compacto. A diferencia de los transformadores y los condensadores, que solo pueden transmitir señales de corriente alterna, el optoacoplador transmite tanto señales de corriente alterna como de corriente continua. Esto los hace especialmente populares para aplicaciones como interfaces de comunicación aisladas, drivers de motores de alta tensión, monitorización de la red de alterna, circuitos de control de alimentación, módulos de E/S industriales o sistemas de sensores. La Nota de Aplicación ofrece orientación sobre la caracterización de los parámetros y consideraciones importantes sobre el diseño.</w:t>
      </w:r>
    </w:p>
    <w:p w14:paraId="29177C59" w14:textId="77777777" w:rsidR="000B24B6" w:rsidRDefault="0078586D">
      <w:pPr>
        <w:pStyle w:val="Textkrper"/>
        <w:spacing w:before="120" w:after="120" w:line="260" w:lineRule="exact"/>
        <w:jc w:val="both"/>
        <w:rPr>
          <w:rFonts w:ascii="Arial" w:hAnsi="Arial"/>
          <w:b w:val="0"/>
          <w:bCs w:val="0"/>
          <w:color w:val="000000"/>
        </w:rPr>
      </w:pPr>
      <w:r>
        <w:rPr>
          <w:rFonts w:ascii="Arial" w:hAnsi="Arial"/>
          <w:b w:val="0"/>
          <w:color w:val="000000"/>
        </w:rPr>
        <w:t>Contenido:</w:t>
      </w:r>
    </w:p>
    <w:p w14:paraId="050A2A31" w14:textId="77777777" w:rsidR="000B24B6" w:rsidRDefault="0078586D">
      <w:pPr>
        <w:pStyle w:val="Textkrper"/>
        <w:spacing w:before="120" w:after="120" w:line="260" w:lineRule="exact"/>
        <w:jc w:val="both"/>
        <w:rPr>
          <w:rFonts w:ascii="Arial" w:hAnsi="Arial"/>
          <w:b w:val="0"/>
          <w:bCs w:val="0"/>
          <w:color w:val="000000"/>
        </w:rPr>
      </w:pPr>
      <w:r>
        <w:rPr>
          <w:rFonts w:ascii="Arial" w:hAnsi="Arial"/>
          <w:b w:val="0"/>
          <w:color w:val="000000"/>
        </w:rPr>
        <w:t>- Estructura y función de los optoacopladores</w:t>
      </w:r>
    </w:p>
    <w:p w14:paraId="720154B1" w14:textId="1172D973" w:rsidR="000B24B6" w:rsidRDefault="0078586D">
      <w:pPr>
        <w:pStyle w:val="Textkrper"/>
        <w:spacing w:before="120" w:after="120" w:line="260" w:lineRule="exact"/>
        <w:jc w:val="both"/>
        <w:rPr>
          <w:rFonts w:ascii="Arial" w:hAnsi="Arial"/>
          <w:b w:val="0"/>
          <w:bCs w:val="0"/>
          <w:color w:val="000000"/>
        </w:rPr>
      </w:pPr>
      <w:r>
        <w:rPr>
          <w:rFonts w:ascii="Arial" w:hAnsi="Arial"/>
          <w:b w:val="0"/>
          <w:color w:val="000000"/>
        </w:rPr>
        <w:t>- CTR de CC y CA: Estimación del espectro del CTR</w:t>
      </w:r>
    </w:p>
    <w:p w14:paraId="381B01AA" w14:textId="5FA2F5F4" w:rsidR="000B24B6" w:rsidRDefault="0078586D">
      <w:pPr>
        <w:pStyle w:val="Textkrper"/>
        <w:spacing w:before="120" w:after="120" w:line="260" w:lineRule="exact"/>
        <w:jc w:val="both"/>
        <w:rPr>
          <w:rFonts w:ascii="Arial" w:hAnsi="Arial"/>
          <w:b w:val="0"/>
          <w:bCs w:val="0"/>
          <w:color w:val="000000"/>
        </w:rPr>
      </w:pPr>
      <w:r>
        <w:rPr>
          <w:rFonts w:ascii="Arial" w:hAnsi="Arial"/>
          <w:b w:val="0"/>
          <w:color w:val="000000"/>
        </w:rPr>
        <w:t>- Capacitancia parásita y frecuencia de corte</w:t>
      </w:r>
    </w:p>
    <w:p w14:paraId="7F1B97DE" w14:textId="52F1F744" w:rsidR="000B24B6" w:rsidRDefault="0078586D">
      <w:pPr>
        <w:pStyle w:val="Textkrper"/>
        <w:spacing w:before="120" w:after="120" w:line="260" w:lineRule="exact"/>
        <w:jc w:val="both"/>
        <w:rPr>
          <w:rFonts w:ascii="Arial" w:hAnsi="Arial"/>
          <w:b w:val="0"/>
          <w:bCs w:val="0"/>
          <w:color w:val="000000"/>
        </w:rPr>
      </w:pPr>
      <w:r>
        <w:rPr>
          <w:rFonts w:ascii="Arial" w:hAnsi="Arial"/>
          <w:b w:val="0"/>
          <w:color w:val="000000"/>
        </w:rPr>
        <w:t>- Comportamiento de la conmutación y polarización en DC</w:t>
      </w:r>
    </w:p>
    <w:p w14:paraId="609E19EE" w14:textId="77777777" w:rsidR="000B24B6" w:rsidRDefault="0078586D">
      <w:pPr>
        <w:pStyle w:val="Textkrper"/>
        <w:spacing w:before="120" w:after="120" w:line="260" w:lineRule="exact"/>
        <w:jc w:val="both"/>
        <w:rPr>
          <w:rFonts w:ascii="Arial" w:hAnsi="Arial"/>
          <w:b w:val="0"/>
          <w:bCs w:val="0"/>
          <w:color w:val="000000"/>
        </w:rPr>
      </w:pPr>
      <w:r>
        <w:rPr>
          <w:rFonts w:ascii="Arial" w:hAnsi="Arial"/>
          <w:b w:val="0"/>
          <w:color w:val="000000"/>
        </w:rPr>
        <w:t>- Medición y caracterización de parámetros</w:t>
      </w:r>
    </w:p>
    <w:p w14:paraId="2C55AA16" w14:textId="77777777" w:rsidR="000B24B6" w:rsidRDefault="0078586D">
      <w:pPr>
        <w:pStyle w:val="Textkrper"/>
        <w:spacing w:before="120" w:after="120" w:line="260" w:lineRule="exact"/>
        <w:jc w:val="both"/>
        <w:rPr>
          <w:rFonts w:ascii="Arial" w:hAnsi="Arial"/>
          <w:b w:val="0"/>
          <w:bCs w:val="0"/>
          <w:color w:val="000000"/>
        </w:rPr>
      </w:pPr>
      <w:r>
        <w:rPr>
          <w:rFonts w:ascii="Arial" w:hAnsi="Arial"/>
          <w:b w:val="0"/>
          <w:color w:val="000000"/>
        </w:rPr>
        <w:t>- Resultados experimentales con la serie WL-OCPT 817-816</w:t>
      </w:r>
    </w:p>
    <w:p w14:paraId="6D6AD3AC" w14:textId="77777777" w:rsidR="000B24B6" w:rsidRDefault="000B24B6">
      <w:pPr>
        <w:pStyle w:val="Textkrper"/>
        <w:spacing w:before="120" w:after="120" w:line="260" w:lineRule="exact"/>
        <w:jc w:val="both"/>
        <w:rPr>
          <w:rFonts w:ascii="Arial" w:hAnsi="Arial"/>
          <w:color w:val="000000"/>
        </w:rPr>
      </w:pPr>
    </w:p>
    <w:p w14:paraId="36476AD7" w14:textId="77777777" w:rsidR="000B24B6" w:rsidRDefault="000B24B6">
      <w:pPr>
        <w:pStyle w:val="Textkrper"/>
        <w:spacing w:before="120" w:after="120" w:line="260" w:lineRule="exact"/>
        <w:jc w:val="both"/>
        <w:rPr>
          <w:rFonts w:ascii="Arial" w:hAnsi="Arial"/>
          <w:b w:val="0"/>
          <w:bCs w:val="0"/>
        </w:rPr>
      </w:pPr>
    </w:p>
    <w:p w14:paraId="6CDA8F99" w14:textId="77777777" w:rsidR="000B24B6" w:rsidRDefault="000B24B6">
      <w:pPr>
        <w:pStyle w:val="PITextkrper"/>
        <w:pBdr>
          <w:top w:val="single" w:sz="4" w:space="1" w:color="auto"/>
        </w:pBdr>
        <w:spacing w:before="240"/>
        <w:rPr>
          <w:b/>
          <w:sz w:val="18"/>
          <w:szCs w:val="18"/>
        </w:rPr>
      </w:pPr>
    </w:p>
    <w:p w14:paraId="29ADC098" w14:textId="77777777" w:rsidR="0078586D" w:rsidRDefault="0078586D" w:rsidP="0078586D">
      <w:pPr>
        <w:spacing w:after="120" w:line="280" w:lineRule="exact"/>
        <w:rPr>
          <w:rFonts w:ascii="Arial" w:hAnsi="Arial" w:cs="Arial"/>
          <w:b/>
          <w:bCs/>
          <w:sz w:val="18"/>
          <w:szCs w:val="18"/>
        </w:rPr>
      </w:pPr>
      <w:r>
        <w:rPr>
          <w:rFonts w:ascii="Arial" w:hAnsi="Arial"/>
          <w:b/>
          <w:sz w:val="18"/>
        </w:rPr>
        <w:t>Imágenes disponibles</w:t>
      </w:r>
    </w:p>
    <w:p w14:paraId="0B5A5DC5" w14:textId="16C00816" w:rsidR="0078586D" w:rsidRPr="0078586D" w:rsidRDefault="0078586D" w:rsidP="0078586D">
      <w:pPr>
        <w:spacing w:after="120" w:line="280" w:lineRule="exact"/>
        <w:rPr>
          <w:color w:val="0000FF"/>
          <w:u w:val="single"/>
        </w:rPr>
      </w:pPr>
      <w:r>
        <w:rPr>
          <w:rFonts w:ascii="Arial" w:hAnsi="Arial"/>
          <w:sz w:val="18"/>
        </w:rPr>
        <w:t>Las siguientes imágenes se encuentran disponibles para impresión y descarga en:</w:t>
      </w:r>
      <w:r>
        <w:t xml:space="preserve"> </w:t>
      </w:r>
      <w:hyperlink r:id="rId9" w:history="1">
        <w:r>
          <w:rPr>
            <w:rStyle w:val="Hyperlink"/>
            <w:rFonts w:ascii="Arial" w:hAnsi="Arial" w:cs="Arial"/>
            <w:sz w:val="18"/>
            <w:szCs w:val="18"/>
          </w:rPr>
          <w:t>https://kk.htcm.de/press-releases/wuerth/</w:t>
        </w:r>
      </w:hyperlink>
    </w:p>
    <w:tbl>
      <w:tblPr>
        <w:tblW w:w="6837"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94"/>
        <w:gridCol w:w="3543"/>
      </w:tblGrid>
      <w:tr w:rsidR="000B24B6" w14:paraId="41AD7B78" w14:textId="77777777" w:rsidTr="0078586D">
        <w:trPr>
          <w:trHeight w:val="1701"/>
        </w:trPr>
        <w:tc>
          <w:tcPr>
            <w:tcW w:w="3294" w:type="dxa"/>
          </w:tcPr>
          <w:p w14:paraId="17C3C417" w14:textId="77777777" w:rsidR="000B24B6" w:rsidRDefault="0078586D">
            <w:pPr>
              <w:pStyle w:val="txt"/>
              <w:rPr>
                <w:b/>
                <w:bCs/>
                <w:sz w:val="18"/>
              </w:rPr>
            </w:pPr>
            <w:r>
              <w:br/>
            </w:r>
            <w:r>
              <w:rPr>
                <w:noProof/>
                <w:lang w:eastAsia="zh-TW"/>
              </w:rPr>
              <w:drawing>
                <wp:inline distT="0" distB="0" distL="0" distR="0" wp14:anchorId="792588D0" wp14:editId="41FFF6D1">
                  <wp:extent cx="2016000" cy="2016000"/>
                  <wp:effectExtent l="0" t="0" r="3810" b="3810"/>
                  <wp:docPr id="1855426240"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16000" cy="2016000"/>
                          </a:xfrm>
                          <a:prstGeom prst="rect">
                            <a:avLst/>
                          </a:prstGeom>
                          <a:noFill/>
                          <a:ln>
                            <a:noFill/>
                          </a:ln>
                        </pic:spPr>
                      </pic:pic>
                    </a:graphicData>
                  </a:graphic>
                </wp:inline>
              </w:drawing>
            </w:r>
            <w:r>
              <w:rPr>
                <w:b/>
                <w:sz w:val="18"/>
              </w:rPr>
              <w:br/>
            </w:r>
            <w:r>
              <w:rPr>
                <w:sz w:val="16"/>
              </w:rPr>
              <w:t xml:space="preserve">Fuente de la imagen: Würth Elektronik </w:t>
            </w:r>
          </w:p>
          <w:p w14:paraId="4C466239" w14:textId="77777777" w:rsidR="000B24B6" w:rsidRDefault="0078586D">
            <w:pPr>
              <w:autoSpaceDE w:val="0"/>
              <w:autoSpaceDN w:val="0"/>
              <w:adjustRightInd w:val="0"/>
              <w:rPr>
                <w:rFonts w:ascii="Arial" w:hAnsi="Arial" w:cs="Arial"/>
                <w:b/>
                <w:bCs/>
                <w:sz w:val="18"/>
                <w:szCs w:val="18"/>
              </w:rPr>
            </w:pPr>
            <w:r>
              <w:rPr>
                <w:rFonts w:ascii="Arial" w:hAnsi="Arial"/>
                <w:b/>
                <w:sz w:val="18"/>
              </w:rPr>
              <w:t>Würth Elektronik publica una Nota de Aplicación sobre los optoacopladores.</w:t>
            </w:r>
            <w:r>
              <w:rPr>
                <w:rFonts w:ascii="Arial" w:hAnsi="Arial"/>
                <w:b/>
                <w:sz w:val="18"/>
              </w:rPr>
              <w:br/>
            </w:r>
          </w:p>
        </w:tc>
        <w:tc>
          <w:tcPr>
            <w:tcW w:w="3543" w:type="dxa"/>
          </w:tcPr>
          <w:p w14:paraId="43330391" w14:textId="1636383C" w:rsidR="000B24B6" w:rsidRDefault="0078586D">
            <w:pPr>
              <w:pStyle w:val="txt"/>
              <w:rPr>
                <w:b/>
                <w:bCs/>
                <w:sz w:val="18"/>
              </w:rPr>
            </w:pPr>
            <w:r>
              <w:br/>
            </w:r>
            <w:r>
              <w:rPr>
                <w:noProof/>
              </w:rPr>
              <w:drawing>
                <wp:inline distT="0" distB="0" distL="0" distR="0" wp14:anchorId="39180CB8" wp14:editId="321C2CBB">
                  <wp:extent cx="2096889" cy="2016000"/>
                  <wp:effectExtent l="0" t="0" r="0" b="3810"/>
                  <wp:docPr id="858008343"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96889" cy="2016000"/>
                          </a:xfrm>
                          <a:prstGeom prst="rect">
                            <a:avLst/>
                          </a:prstGeom>
                          <a:noFill/>
                          <a:ln>
                            <a:noFill/>
                          </a:ln>
                        </pic:spPr>
                      </pic:pic>
                    </a:graphicData>
                  </a:graphic>
                </wp:inline>
              </w:drawing>
            </w:r>
            <w:r>
              <w:br/>
            </w:r>
            <w:r>
              <w:rPr>
                <w:sz w:val="16"/>
              </w:rPr>
              <w:t xml:space="preserve">Fuente de la imagen: Würth Elektronik </w:t>
            </w:r>
          </w:p>
          <w:p w14:paraId="171CA9DF" w14:textId="77777777" w:rsidR="000B24B6" w:rsidRDefault="0078586D">
            <w:pPr>
              <w:pStyle w:val="txt"/>
              <w:rPr>
                <w:noProof/>
              </w:rPr>
            </w:pPr>
            <w:r>
              <w:rPr>
                <w:b/>
                <w:sz w:val="18"/>
              </w:rPr>
              <w:t>Los optoacopladores de Würth Elektronik ofrecen un CTR estable en todo el rango de temperaturas de funcionamiento.</w:t>
            </w:r>
            <w:r>
              <w:rPr>
                <w:b/>
                <w:sz w:val="18"/>
              </w:rPr>
              <w:br/>
            </w:r>
          </w:p>
        </w:tc>
      </w:tr>
    </w:tbl>
    <w:p w14:paraId="376691EC" w14:textId="77777777" w:rsidR="000B24B6" w:rsidRDefault="000B24B6">
      <w:pPr>
        <w:spacing w:after="120" w:line="280" w:lineRule="exact"/>
        <w:rPr>
          <w:rFonts w:ascii="Arial" w:hAnsi="Arial" w:cs="Arial"/>
          <w:sz w:val="18"/>
          <w:szCs w:val="18"/>
        </w:rPr>
      </w:pPr>
    </w:p>
    <w:tbl>
      <w:tblPr>
        <w:tblW w:w="329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94"/>
      </w:tblGrid>
      <w:tr w:rsidR="000B24B6" w14:paraId="2FC9EE58" w14:textId="77777777" w:rsidTr="0078586D">
        <w:trPr>
          <w:trHeight w:val="1701"/>
        </w:trPr>
        <w:tc>
          <w:tcPr>
            <w:tcW w:w="3294" w:type="dxa"/>
          </w:tcPr>
          <w:p w14:paraId="74F8D0B7" w14:textId="0F92BD9D" w:rsidR="000B24B6" w:rsidRDefault="0078586D">
            <w:pPr>
              <w:pStyle w:val="txt"/>
              <w:rPr>
                <w:b/>
                <w:bCs/>
                <w:sz w:val="18"/>
              </w:rPr>
            </w:pPr>
            <w:r>
              <w:rPr>
                <w:noProof/>
                <w:lang w:eastAsia="zh-TW"/>
              </w:rPr>
              <w:br/>
            </w:r>
            <w:r>
              <w:rPr>
                <w:noProof/>
                <w:lang w:eastAsia="zh-TW"/>
              </w:rPr>
              <w:drawing>
                <wp:inline distT="0" distB="0" distL="0" distR="0" wp14:anchorId="0B80F679" wp14:editId="6E649416">
                  <wp:extent cx="2016000" cy="1312358"/>
                  <wp:effectExtent l="0" t="0" r="3810" b="2540"/>
                  <wp:docPr id="313092832" name="Grafik 313092832" descr="https://www.we-online.com/components/media/o176285v209 Gruppe_WL-OCPT_Optokoppl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we-online.com/components/media/o176285v209 Gruppe_WL-OCPT_Optokoppler.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016000" cy="1312358"/>
                          </a:xfrm>
                          <a:prstGeom prst="rect">
                            <a:avLst/>
                          </a:prstGeom>
                          <a:noFill/>
                          <a:ln>
                            <a:noFill/>
                          </a:ln>
                        </pic:spPr>
                      </pic:pic>
                    </a:graphicData>
                  </a:graphic>
                </wp:inline>
              </w:drawing>
            </w:r>
            <w:r>
              <w:rPr>
                <w:b/>
                <w:sz w:val="18"/>
              </w:rPr>
              <w:br/>
            </w:r>
            <w:r>
              <w:rPr>
                <w:sz w:val="16"/>
              </w:rPr>
              <w:br/>
              <w:t xml:space="preserve">Fuente de la imagen: Würth Elektronik </w:t>
            </w:r>
          </w:p>
          <w:p w14:paraId="086BEF59" w14:textId="77777777" w:rsidR="000B24B6" w:rsidRDefault="0078586D">
            <w:pPr>
              <w:autoSpaceDE w:val="0"/>
              <w:autoSpaceDN w:val="0"/>
              <w:adjustRightInd w:val="0"/>
              <w:rPr>
                <w:rFonts w:ascii="Arial" w:hAnsi="Arial" w:cs="Arial"/>
                <w:b/>
                <w:bCs/>
                <w:sz w:val="18"/>
                <w:szCs w:val="18"/>
              </w:rPr>
            </w:pPr>
            <w:r>
              <w:rPr>
                <w:rFonts w:ascii="Arial" w:hAnsi="Arial"/>
                <w:b/>
                <w:sz w:val="18"/>
              </w:rPr>
              <w:t>Optoacopladores de Würth Elektronik: en la nueva Nota de Aplicación se describe cómo desarrollar aplicaciones fiables.</w:t>
            </w:r>
            <w:r>
              <w:rPr>
                <w:rFonts w:ascii="Arial" w:hAnsi="Arial"/>
                <w:b/>
                <w:sz w:val="18"/>
              </w:rPr>
              <w:br/>
            </w:r>
          </w:p>
        </w:tc>
      </w:tr>
    </w:tbl>
    <w:p w14:paraId="70C9649B" w14:textId="77777777" w:rsidR="000B24B6" w:rsidRDefault="000B24B6">
      <w:pPr>
        <w:pStyle w:val="PITextkrper"/>
        <w:rPr>
          <w:b/>
          <w:bCs/>
          <w:sz w:val="20"/>
        </w:rPr>
      </w:pPr>
    </w:p>
    <w:p w14:paraId="050F043B" w14:textId="35DFA39D" w:rsidR="0078586D" w:rsidRDefault="0078586D">
      <w:pPr>
        <w:rPr>
          <w:rFonts w:ascii="Arial" w:hAnsi="Arial" w:cs="Arial"/>
          <w:sz w:val="20"/>
          <w:szCs w:val="20"/>
        </w:rPr>
      </w:pPr>
      <w:r>
        <w:rPr>
          <w:rFonts w:ascii="Arial" w:hAnsi="Arial"/>
          <w:b/>
          <w:bCs/>
        </w:rPr>
        <w:br w:type="page"/>
      </w:r>
    </w:p>
    <w:p w14:paraId="5F948896" w14:textId="77777777" w:rsidR="0078586D" w:rsidRDefault="0078586D" w:rsidP="0078586D">
      <w:pPr>
        <w:pStyle w:val="Textkrper"/>
        <w:spacing w:before="120" w:after="120" w:line="260" w:lineRule="exact"/>
        <w:jc w:val="both"/>
        <w:rPr>
          <w:rFonts w:ascii="Arial" w:hAnsi="Arial"/>
          <w:b w:val="0"/>
          <w:bCs w:val="0"/>
        </w:rPr>
      </w:pPr>
    </w:p>
    <w:p w14:paraId="2C220ECC" w14:textId="77777777" w:rsidR="0078586D" w:rsidRDefault="0078586D" w:rsidP="0078586D">
      <w:pPr>
        <w:pStyle w:val="PITextkrper"/>
        <w:pBdr>
          <w:top w:val="single" w:sz="4" w:space="1" w:color="auto"/>
        </w:pBdr>
        <w:spacing w:before="240"/>
        <w:rPr>
          <w:b/>
          <w:sz w:val="18"/>
          <w:szCs w:val="18"/>
        </w:rPr>
      </w:pPr>
    </w:p>
    <w:p w14:paraId="319E66E7" w14:textId="77777777" w:rsidR="0078586D" w:rsidRDefault="0078586D" w:rsidP="0078586D">
      <w:pPr>
        <w:pStyle w:val="Textkrper"/>
        <w:spacing w:before="120" w:after="120" w:line="276" w:lineRule="auto"/>
        <w:jc w:val="both"/>
        <w:rPr>
          <w:rFonts w:ascii="Arial" w:hAnsi="Arial"/>
        </w:rPr>
      </w:pPr>
      <w:bookmarkStart w:id="0" w:name="_Hlk529547556"/>
      <w:bookmarkStart w:id="1" w:name="_Hlk530469551"/>
      <w:r>
        <w:rPr>
          <w:rFonts w:ascii="Arial" w:hAnsi="Arial"/>
        </w:rPr>
        <w:t xml:space="preserve">Acerca del Grupo Würth Elektronik eiSos </w:t>
      </w:r>
    </w:p>
    <w:bookmarkEnd w:id="0"/>
    <w:p w14:paraId="24DE67A3" w14:textId="77777777" w:rsidR="0078586D" w:rsidRDefault="0078586D" w:rsidP="0078586D">
      <w:pPr>
        <w:pStyle w:val="Textkrper"/>
        <w:spacing w:before="120" w:after="120" w:line="276" w:lineRule="auto"/>
        <w:jc w:val="both"/>
        <w:rPr>
          <w:rFonts w:ascii="Arial" w:hAnsi="Arial"/>
          <w:b w:val="0"/>
        </w:rPr>
      </w:pPr>
      <w:r>
        <w:rPr>
          <w:rFonts w:ascii="Arial" w:hAnsi="Arial"/>
          <w:b w:val="0"/>
        </w:rPr>
        <w:t>El Grupo Würth Elektronik eiSos es un fabricante de componentes electrónicos y electromecánicos para la industria electrónica, que aporta soluciones electrónicas innovadoras con su liderazgo tecnológico. Würth Elektronik eiSos es uno de los mayores fabricantes europeos de componentes pasivos y opera en 50 países. Sus plantas de producción en Europa, Asia y América del Norte suministran productos a un creciente número de clientes en todo el mundo.</w:t>
      </w:r>
    </w:p>
    <w:p w14:paraId="033AA924" w14:textId="77777777" w:rsidR="0078586D" w:rsidRDefault="0078586D" w:rsidP="0078586D">
      <w:pPr>
        <w:pStyle w:val="Textkrper"/>
        <w:spacing w:before="120" w:after="120" w:line="276" w:lineRule="auto"/>
        <w:jc w:val="both"/>
        <w:rPr>
          <w:b w:val="0"/>
          <w:bCs w:val="0"/>
        </w:rPr>
      </w:pPr>
      <w:r>
        <w:rPr>
          <w:rFonts w:ascii="Arial" w:hAnsi="Arial"/>
          <w:b w:val="0"/>
          <w:bCs w:val="0"/>
        </w:rPr>
        <w:t>La gama de productos incluye componentes para EMC, inductores, transformadores, componentes de RF, varistores, condensadores, resistencias, cuarzos, osciladores, módulos de alimentación, transferencia de energia inalámbrica, LED‘s, sensores, módulos de radio, conectores, elementos para fuentes de alimentación, interruptores, pulsadores, elementos de montaje, portafusibles, así como soluciones para la comunicación inalámbrica de datos.</w:t>
      </w:r>
    </w:p>
    <w:p w14:paraId="7C778425" w14:textId="77777777" w:rsidR="0078586D" w:rsidRDefault="0078586D" w:rsidP="0078586D">
      <w:pPr>
        <w:pStyle w:val="Textkrper"/>
        <w:spacing w:before="120" w:after="120" w:line="276" w:lineRule="auto"/>
        <w:jc w:val="both"/>
        <w:rPr>
          <w:rFonts w:ascii="Arial" w:hAnsi="Arial"/>
          <w:b w:val="0"/>
          <w:lang w:val="x-none"/>
        </w:rPr>
      </w:pPr>
      <w:r>
        <w:rPr>
          <w:rFonts w:ascii="Arial" w:hAnsi="Arial"/>
          <w:b w:val="0"/>
        </w:rPr>
        <w:t xml:space="preserve">La clara vocación de servicio de la empresa se caracteriza por la disponibilidad de todos los componentes del catálogo en stock sin una cantidad mínima de pedido, muestras gratuitas, haciendo hincapié en el soporte técnico con las herramientas de selección proporcionado por el departamento técnico de ventas. </w:t>
      </w:r>
    </w:p>
    <w:p w14:paraId="101576E2" w14:textId="77777777" w:rsidR="0078586D" w:rsidRDefault="0078586D" w:rsidP="0078586D">
      <w:pPr>
        <w:pStyle w:val="PITextkrper"/>
        <w:rPr>
          <w:sz w:val="18"/>
          <w:szCs w:val="18"/>
        </w:rPr>
      </w:pPr>
      <w:r>
        <w:rPr>
          <w:bCs/>
          <w:sz w:val="20"/>
          <w:lang w:val="x-none" w:eastAsia="x-none"/>
        </w:rPr>
        <w:t xml:space="preserve">Würth Elektronik forma </w:t>
      </w:r>
      <w:proofErr w:type="spellStart"/>
      <w:r>
        <w:rPr>
          <w:bCs/>
          <w:sz w:val="20"/>
          <w:lang w:val="x-none" w:eastAsia="x-none"/>
        </w:rPr>
        <w:t>parte</w:t>
      </w:r>
      <w:proofErr w:type="spellEnd"/>
      <w:r>
        <w:rPr>
          <w:bCs/>
          <w:sz w:val="20"/>
          <w:lang w:val="x-none" w:eastAsia="x-none"/>
        </w:rPr>
        <w:t xml:space="preserve"> del </w:t>
      </w:r>
      <w:proofErr w:type="spellStart"/>
      <w:r>
        <w:rPr>
          <w:bCs/>
          <w:sz w:val="20"/>
          <w:lang w:val="x-none" w:eastAsia="x-none"/>
        </w:rPr>
        <w:t>Grupo</w:t>
      </w:r>
      <w:proofErr w:type="spellEnd"/>
      <w:r>
        <w:rPr>
          <w:bCs/>
          <w:sz w:val="20"/>
          <w:lang w:val="x-none" w:eastAsia="x-none"/>
        </w:rPr>
        <w:t xml:space="preserve"> Würth, </w:t>
      </w:r>
      <w:proofErr w:type="spellStart"/>
      <w:r>
        <w:rPr>
          <w:bCs/>
          <w:sz w:val="20"/>
          <w:lang w:val="x-none" w:eastAsia="x-none"/>
        </w:rPr>
        <w:t>líder</w:t>
      </w:r>
      <w:proofErr w:type="spellEnd"/>
      <w:r>
        <w:rPr>
          <w:bCs/>
          <w:sz w:val="20"/>
          <w:lang w:val="x-none" w:eastAsia="x-none"/>
        </w:rPr>
        <w:t xml:space="preserve"> del </w:t>
      </w:r>
      <w:proofErr w:type="spellStart"/>
      <w:r>
        <w:rPr>
          <w:bCs/>
          <w:sz w:val="20"/>
          <w:lang w:val="x-none" w:eastAsia="x-none"/>
        </w:rPr>
        <w:t>mercado</w:t>
      </w:r>
      <w:proofErr w:type="spellEnd"/>
      <w:r>
        <w:rPr>
          <w:bCs/>
          <w:sz w:val="20"/>
          <w:lang w:val="x-none" w:eastAsia="x-none"/>
        </w:rPr>
        <w:t xml:space="preserve"> </w:t>
      </w:r>
      <w:proofErr w:type="spellStart"/>
      <w:r>
        <w:rPr>
          <w:bCs/>
          <w:sz w:val="20"/>
          <w:lang w:val="x-none" w:eastAsia="x-none"/>
        </w:rPr>
        <w:t>mundial</w:t>
      </w:r>
      <w:proofErr w:type="spellEnd"/>
      <w:r>
        <w:rPr>
          <w:bCs/>
          <w:sz w:val="20"/>
          <w:lang w:val="x-none" w:eastAsia="x-none"/>
        </w:rPr>
        <w:t xml:space="preserve"> en </w:t>
      </w:r>
      <w:proofErr w:type="spellStart"/>
      <w:r>
        <w:rPr>
          <w:bCs/>
          <w:sz w:val="20"/>
          <w:lang w:val="x-none" w:eastAsia="x-none"/>
        </w:rPr>
        <w:t>el</w:t>
      </w:r>
      <w:proofErr w:type="spellEnd"/>
      <w:r>
        <w:rPr>
          <w:bCs/>
          <w:sz w:val="20"/>
          <w:lang w:val="x-none" w:eastAsia="x-none"/>
        </w:rPr>
        <w:t xml:space="preserve"> </w:t>
      </w:r>
      <w:proofErr w:type="spellStart"/>
      <w:r>
        <w:rPr>
          <w:bCs/>
          <w:sz w:val="20"/>
          <w:lang w:val="x-none" w:eastAsia="x-none"/>
        </w:rPr>
        <w:t>desarrollo</w:t>
      </w:r>
      <w:proofErr w:type="spellEnd"/>
      <w:r>
        <w:rPr>
          <w:bCs/>
          <w:sz w:val="20"/>
          <w:lang w:val="x-none" w:eastAsia="x-none"/>
        </w:rPr>
        <w:t xml:space="preserve">, la </w:t>
      </w:r>
      <w:proofErr w:type="spellStart"/>
      <w:r>
        <w:rPr>
          <w:bCs/>
          <w:sz w:val="20"/>
          <w:lang w:val="x-none" w:eastAsia="x-none"/>
        </w:rPr>
        <w:t>fabricación</w:t>
      </w:r>
      <w:proofErr w:type="spellEnd"/>
      <w:r>
        <w:rPr>
          <w:bCs/>
          <w:sz w:val="20"/>
          <w:lang w:val="x-none" w:eastAsia="x-none"/>
        </w:rPr>
        <w:t xml:space="preserve"> y la </w:t>
      </w:r>
      <w:proofErr w:type="spellStart"/>
      <w:r>
        <w:rPr>
          <w:bCs/>
          <w:sz w:val="20"/>
          <w:lang w:val="x-none" w:eastAsia="x-none"/>
        </w:rPr>
        <w:t>distribución</w:t>
      </w:r>
      <w:proofErr w:type="spellEnd"/>
      <w:r>
        <w:rPr>
          <w:bCs/>
          <w:sz w:val="20"/>
          <w:lang w:val="x-none" w:eastAsia="x-none"/>
        </w:rPr>
        <w:t xml:space="preserve"> de materiales de </w:t>
      </w:r>
      <w:proofErr w:type="spellStart"/>
      <w:r>
        <w:rPr>
          <w:bCs/>
          <w:sz w:val="20"/>
          <w:lang w:val="x-none" w:eastAsia="x-none"/>
        </w:rPr>
        <w:t>montaje</w:t>
      </w:r>
      <w:proofErr w:type="spellEnd"/>
      <w:r>
        <w:rPr>
          <w:bCs/>
          <w:sz w:val="20"/>
          <w:lang w:val="x-none" w:eastAsia="x-none"/>
        </w:rPr>
        <w:t xml:space="preserve"> y </w:t>
      </w:r>
      <w:proofErr w:type="spellStart"/>
      <w:r>
        <w:rPr>
          <w:bCs/>
          <w:sz w:val="20"/>
          <w:lang w:val="x-none" w:eastAsia="x-none"/>
        </w:rPr>
        <w:t>fijación</w:t>
      </w:r>
      <w:proofErr w:type="spellEnd"/>
      <w:r>
        <w:rPr>
          <w:bCs/>
          <w:sz w:val="20"/>
          <w:lang w:val="x-none" w:eastAsia="x-none"/>
        </w:rPr>
        <w:t xml:space="preserve">. La </w:t>
      </w:r>
      <w:proofErr w:type="spellStart"/>
      <w:r>
        <w:rPr>
          <w:bCs/>
          <w:sz w:val="20"/>
          <w:lang w:val="x-none" w:eastAsia="x-none"/>
        </w:rPr>
        <w:t>empresa</w:t>
      </w:r>
      <w:proofErr w:type="spellEnd"/>
      <w:r>
        <w:rPr>
          <w:bCs/>
          <w:sz w:val="20"/>
          <w:lang w:val="x-none" w:eastAsia="x-none"/>
        </w:rPr>
        <w:t xml:space="preserve"> </w:t>
      </w:r>
      <w:proofErr w:type="spellStart"/>
      <w:r>
        <w:rPr>
          <w:bCs/>
          <w:sz w:val="20"/>
          <w:lang w:val="x-none" w:eastAsia="x-none"/>
        </w:rPr>
        <w:t>emplea</w:t>
      </w:r>
      <w:proofErr w:type="spellEnd"/>
      <w:r>
        <w:rPr>
          <w:bCs/>
          <w:sz w:val="20"/>
          <w:lang w:val="x-none" w:eastAsia="x-none"/>
        </w:rPr>
        <w:t xml:space="preserve"> a 8</w:t>
      </w:r>
      <w:r>
        <w:rPr>
          <w:bCs/>
          <w:sz w:val="20"/>
          <w:lang w:eastAsia="x-none"/>
        </w:rPr>
        <w:t>.2</w:t>
      </w:r>
      <w:r>
        <w:rPr>
          <w:bCs/>
          <w:sz w:val="20"/>
          <w:lang w:val="x-none" w:eastAsia="x-none"/>
        </w:rPr>
        <w:t xml:space="preserve">00 </w:t>
      </w:r>
      <w:proofErr w:type="spellStart"/>
      <w:r>
        <w:rPr>
          <w:bCs/>
          <w:sz w:val="20"/>
          <w:lang w:val="x-none" w:eastAsia="x-none"/>
        </w:rPr>
        <w:t>trabajadores</w:t>
      </w:r>
      <w:proofErr w:type="spellEnd"/>
      <w:r>
        <w:rPr>
          <w:bCs/>
          <w:sz w:val="20"/>
          <w:lang w:val="x-none" w:eastAsia="x-none"/>
        </w:rPr>
        <w:t xml:space="preserve">. En </w:t>
      </w:r>
      <w:proofErr w:type="spellStart"/>
      <w:r>
        <w:rPr>
          <w:bCs/>
          <w:sz w:val="20"/>
          <w:lang w:val="x-none" w:eastAsia="x-none"/>
        </w:rPr>
        <w:t>el</w:t>
      </w:r>
      <w:proofErr w:type="spellEnd"/>
      <w:r>
        <w:rPr>
          <w:bCs/>
          <w:sz w:val="20"/>
          <w:lang w:val="x-none" w:eastAsia="x-none"/>
        </w:rPr>
        <w:t xml:space="preserve"> </w:t>
      </w:r>
      <w:proofErr w:type="spellStart"/>
      <w:r>
        <w:rPr>
          <w:bCs/>
          <w:sz w:val="20"/>
          <w:lang w:val="x-none" w:eastAsia="x-none"/>
        </w:rPr>
        <w:t>año</w:t>
      </w:r>
      <w:proofErr w:type="spellEnd"/>
      <w:r>
        <w:rPr>
          <w:bCs/>
          <w:sz w:val="20"/>
          <w:lang w:val="x-none" w:eastAsia="x-none"/>
        </w:rPr>
        <w:t xml:space="preserve"> 202</w:t>
      </w:r>
      <w:r>
        <w:rPr>
          <w:bCs/>
          <w:sz w:val="20"/>
          <w:lang w:eastAsia="x-none"/>
        </w:rPr>
        <w:t>2</w:t>
      </w:r>
      <w:r>
        <w:rPr>
          <w:bCs/>
          <w:sz w:val="20"/>
          <w:lang w:val="x-none" w:eastAsia="x-none"/>
        </w:rPr>
        <w:t xml:space="preserve">, </w:t>
      </w:r>
      <w:proofErr w:type="spellStart"/>
      <w:r>
        <w:rPr>
          <w:bCs/>
          <w:sz w:val="20"/>
          <w:lang w:val="x-none" w:eastAsia="x-none"/>
        </w:rPr>
        <w:t>el</w:t>
      </w:r>
      <w:proofErr w:type="spellEnd"/>
      <w:r>
        <w:rPr>
          <w:bCs/>
          <w:sz w:val="20"/>
          <w:lang w:val="x-none" w:eastAsia="x-none"/>
        </w:rPr>
        <w:t xml:space="preserve"> </w:t>
      </w:r>
      <w:proofErr w:type="spellStart"/>
      <w:r>
        <w:rPr>
          <w:bCs/>
          <w:sz w:val="20"/>
          <w:lang w:val="x-none" w:eastAsia="x-none"/>
        </w:rPr>
        <w:t>grupo</w:t>
      </w:r>
      <w:proofErr w:type="spellEnd"/>
      <w:r>
        <w:rPr>
          <w:bCs/>
          <w:sz w:val="20"/>
          <w:lang w:val="x-none" w:eastAsia="x-none"/>
        </w:rPr>
        <w:t xml:space="preserve"> Würth Elektronik </w:t>
      </w:r>
      <w:proofErr w:type="spellStart"/>
      <w:r>
        <w:rPr>
          <w:bCs/>
          <w:sz w:val="20"/>
          <w:lang w:val="x-none" w:eastAsia="x-none"/>
        </w:rPr>
        <w:t>generó</w:t>
      </w:r>
      <w:proofErr w:type="spellEnd"/>
      <w:r>
        <w:rPr>
          <w:bCs/>
          <w:sz w:val="20"/>
          <w:lang w:val="x-none" w:eastAsia="x-none"/>
        </w:rPr>
        <w:t xml:space="preserve"> </w:t>
      </w:r>
      <w:proofErr w:type="spellStart"/>
      <w:r>
        <w:rPr>
          <w:bCs/>
          <w:sz w:val="20"/>
          <w:lang w:val="x-none" w:eastAsia="x-none"/>
        </w:rPr>
        <w:t>una</w:t>
      </w:r>
      <w:proofErr w:type="spellEnd"/>
      <w:r>
        <w:rPr>
          <w:bCs/>
          <w:sz w:val="20"/>
          <w:lang w:val="x-none" w:eastAsia="x-none"/>
        </w:rPr>
        <w:t xml:space="preserve"> </w:t>
      </w:r>
      <w:proofErr w:type="spellStart"/>
      <w:r>
        <w:rPr>
          <w:bCs/>
          <w:sz w:val="20"/>
          <w:lang w:val="x-none" w:eastAsia="x-none"/>
        </w:rPr>
        <w:t>facturación</w:t>
      </w:r>
      <w:proofErr w:type="spellEnd"/>
      <w:r>
        <w:rPr>
          <w:bCs/>
          <w:sz w:val="20"/>
          <w:lang w:val="x-none" w:eastAsia="x-none"/>
        </w:rPr>
        <w:t xml:space="preserve"> de 1</w:t>
      </w:r>
      <w:r>
        <w:rPr>
          <w:bCs/>
          <w:sz w:val="20"/>
          <w:lang w:eastAsia="x-none"/>
        </w:rPr>
        <w:t>.</w:t>
      </w:r>
      <w:r>
        <w:rPr>
          <w:bCs/>
          <w:sz w:val="20"/>
          <w:lang w:val="x-none" w:eastAsia="x-none"/>
        </w:rPr>
        <w:t xml:space="preserve">330 </w:t>
      </w:r>
      <w:proofErr w:type="spellStart"/>
      <w:r>
        <w:rPr>
          <w:bCs/>
          <w:sz w:val="20"/>
          <w:lang w:val="x-none" w:eastAsia="x-none"/>
        </w:rPr>
        <w:t>millones</w:t>
      </w:r>
      <w:proofErr w:type="spellEnd"/>
      <w:r>
        <w:rPr>
          <w:bCs/>
          <w:sz w:val="20"/>
          <w:lang w:val="x-none" w:eastAsia="x-none"/>
        </w:rPr>
        <w:t xml:space="preserve"> de </w:t>
      </w:r>
      <w:proofErr w:type="spellStart"/>
      <w:r>
        <w:rPr>
          <w:bCs/>
          <w:sz w:val="20"/>
          <w:lang w:val="x-none" w:eastAsia="x-none"/>
        </w:rPr>
        <w:t>euros</w:t>
      </w:r>
      <w:proofErr w:type="spellEnd"/>
      <w:r>
        <w:rPr>
          <w:bCs/>
          <w:sz w:val="20"/>
          <w:lang w:val="x-none" w:eastAsia="x-none"/>
        </w:rPr>
        <w:t>.</w:t>
      </w:r>
    </w:p>
    <w:p w14:paraId="227E74D3" w14:textId="77777777" w:rsidR="0078586D" w:rsidRDefault="0078586D" w:rsidP="0078586D">
      <w:pPr>
        <w:pStyle w:val="Textkrper"/>
        <w:spacing w:before="120" w:after="120" w:line="276" w:lineRule="auto"/>
        <w:rPr>
          <w:rFonts w:ascii="Arial" w:hAnsi="Arial"/>
          <w:b w:val="0"/>
          <w:lang w:val="x-none"/>
        </w:rPr>
      </w:pPr>
      <w:r w:rsidRPr="0078586D">
        <w:rPr>
          <w:rFonts w:ascii="Arial" w:hAnsi="Arial"/>
          <w:b w:val="0"/>
          <w:lang w:val="en-US"/>
        </w:rPr>
        <w:t xml:space="preserve">Würth </w:t>
      </w:r>
      <w:proofErr w:type="spellStart"/>
      <w:r w:rsidRPr="0078586D">
        <w:rPr>
          <w:rFonts w:ascii="Arial" w:hAnsi="Arial"/>
          <w:b w:val="0"/>
          <w:lang w:val="en-US"/>
        </w:rPr>
        <w:t>Elektronik</w:t>
      </w:r>
      <w:proofErr w:type="spellEnd"/>
      <w:r w:rsidRPr="0078586D">
        <w:rPr>
          <w:rFonts w:ascii="Arial" w:hAnsi="Arial"/>
          <w:b w:val="0"/>
          <w:lang w:val="en-US"/>
        </w:rPr>
        <w:t>: more than you expect!</w:t>
      </w:r>
    </w:p>
    <w:p w14:paraId="68548962" w14:textId="77777777" w:rsidR="0078586D" w:rsidRDefault="0078586D" w:rsidP="0078586D">
      <w:pPr>
        <w:pStyle w:val="Textkrper"/>
        <w:spacing w:before="120" w:after="120" w:line="276" w:lineRule="auto"/>
        <w:rPr>
          <w:rFonts w:ascii="Arial" w:hAnsi="Arial"/>
        </w:rPr>
      </w:pPr>
      <w:r>
        <w:rPr>
          <w:rFonts w:ascii="Arial" w:hAnsi="Arial"/>
        </w:rPr>
        <w:t>Más información en www.we-online.com</w:t>
      </w:r>
    </w:p>
    <w:p w14:paraId="0E27606D" w14:textId="77777777" w:rsidR="0078586D" w:rsidRDefault="0078586D" w:rsidP="0078586D">
      <w:pPr>
        <w:pStyle w:val="Textkrper"/>
        <w:spacing w:before="120" w:after="120" w:line="276" w:lineRule="auto"/>
      </w:pPr>
    </w:p>
    <w:tbl>
      <w:tblPr>
        <w:tblW w:w="0" w:type="dxa"/>
        <w:tblLayout w:type="fixed"/>
        <w:tblCellMar>
          <w:left w:w="0" w:type="dxa"/>
          <w:right w:w="0" w:type="dxa"/>
        </w:tblCellMar>
        <w:tblLook w:val="04A0" w:firstRow="1" w:lastRow="0" w:firstColumn="1" w:lastColumn="0" w:noHBand="0" w:noVBand="1"/>
      </w:tblPr>
      <w:tblGrid>
        <w:gridCol w:w="3902"/>
        <w:gridCol w:w="3193"/>
      </w:tblGrid>
      <w:tr w:rsidR="0078586D" w:rsidRPr="00150C71" w14:paraId="688D6BF3" w14:textId="77777777" w:rsidTr="0078586D">
        <w:tc>
          <w:tcPr>
            <w:tcW w:w="3902" w:type="dxa"/>
            <w:hideMark/>
          </w:tcPr>
          <w:p w14:paraId="17AAF7B0" w14:textId="77777777" w:rsidR="0078586D" w:rsidRDefault="0078586D">
            <w:pPr>
              <w:pStyle w:val="Textkrper"/>
              <w:autoSpaceDE/>
              <w:adjustRightInd/>
              <w:spacing w:before="120" w:after="120" w:line="276" w:lineRule="auto"/>
              <w:rPr>
                <w:rFonts w:ascii="Arial" w:hAnsi="Arial"/>
                <w:bCs w:val="0"/>
                <w:szCs w:val="24"/>
              </w:rPr>
            </w:pPr>
            <w:r>
              <w:rPr>
                <w:lang w:val="x-none" w:eastAsia="x-none"/>
              </w:rPr>
              <w:br w:type="page"/>
            </w:r>
            <w:r>
              <w:rPr>
                <w:rFonts w:ascii="Arial" w:hAnsi="Arial"/>
              </w:rPr>
              <w:t>Más información:</w:t>
            </w:r>
          </w:p>
          <w:p w14:paraId="14ECD65C" w14:textId="77777777" w:rsidR="0078586D" w:rsidRDefault="0078586D">
            <w:pPr>
              <w:spacing w:before="120" w:after="120" w:line="276" w:lineRule="auto"/>
              <w:rPr>
                <w:rFonts w:ascii="Arial" w:hAnsi="Arial" w:cs="Arial"/>
                <w:sz w:val="20"/>
              </w:rPr>
            </w:pPr>
            <w:r>
              <w:rPr>
                <w:rFonts w:ascii="Arial" w:hAnsi="Arial"/>
                <w:sz w:val="20"/>
              </w:rPr>
              <w:t>Würth Elektronik eiSos GmbH &amp; Co. KG</w:t>
            </w:r>
            <w:r>
              <w:br/>
            </w:r>
            <w:r>
              <w:rPr>
                <w:rFonts w:ascii="Arial" w:hAnsi="Arial"/>
                <w:sz w:val="20"/>
              </w:rPr>
              <w:t>Sarah Hurst</w:t>
            </w:r>
            <w:r>
              <w:br/>
            </w:r>
            <w:r>
              <w:rPr>
                <w:rFonts w:ascii="Arial" w:hAnsi="Arial"/>
                <w:sz w:val="20"/>
              </w:rPr>
              <w:t>Clarita-Bernhard-Strasse 9</w:t>
            </w:r>
            <w:r>
              <w:br/>
            </w:r>
            <w:r>
              <w:rPr>
                <w:rFonts w:ascii="Arial" w:hAnsi="Arial"/>
                <w:sz w:val="20"/>
              </w:rPr>
              <w:t>81249 München</w:t>
            </w:r>
            <w:r>
              <w:rPr>
                <w:rFonts w:ascii="Arial" w:hAnsi="Arial"/>
                <w:sz w:val="20"/>
              </w:rPr>
              <w:br/>
              <w:t>Alemania</w:t>
            </w:r>
          </w:p>
          <w:p w14:paraId="5CE83C78" w14:textId="77777777" w:rsidR="0078586D" w:rsidRDefault="0078586D">
            <w:pPr>
              <w:spacing w:before="120" w:after="120" w:line="276" w:lineRule="auto"/>
              <w:rPr>
                <w:rFonts w:ascii="Arial" w:hAnsi="Arial" w:cs="Arial"/>
                <w:bCs/>
                <w:sz w:val="20"/>
              </w:rPr>
            </w:pPr>
            <w:r>
              <w:rPr>
                <w:rFonts w:ascii="Arial" w:hAnsi="Arial"/>
                <w:sz w:val="20"/>
              </w:rPr>
              <w:t>Tel.: +49 7942 945-5186</w:t>
            </w:r>
            <w:r>
              <w:br/>
            </w:r>
            <w:r>
              <w:rPr>
                <w:rFonts w:ascii="Arial" w:hAnsi="Arial"/>
                <w:sz w:val="20"/>
              </w:rPr>
              <w:t xml:space="preserve">Correo electrónico: </w:t>
            </w:r>
            <w:r>
              <w:rPr>
                <w:rFonts w:ascii="Arial" w:hAnsi="Arial"/>
                <w:sz w:val="20"/>
              </w:rPr>
              <w:br/>
              <w:t>sarah.hurst@we-online.de</w:t>
            </w:r>
          </w:p>
          <w:p w14:paraId="5464B882" w14:textId="77777777" w:rsidR="0078586D" w:rsidRDefault="0078586D">
            <w:pPr>
              <w:spacing w:before="120" w:after="120" w:line="276" w:lineRule="auto"/>
              <w:rPr>
                <w:rFonts w:ascii="Arial" w:hAnsi="Arial" w:cs="Arial"/>
                <w:bCs/>
                <w:sz w:val="20"/>
                <w:lang w:val="de-DE"/>
              </w:rPr>
            </w:pPr>
            <w:r>
              <w:rPr>
                <w:rFonts w:ascii="Arial" w:hAnsi="Arial"/>
                <w:sz w:val="20"/>
              </w:rPr>
              <w:t>www.we-online.com</w:t>
            </w:r>
          </w:p>
        </w:tc>
        <w:tc>
          <w:tcPr>
            <w:tcW w:w="3193" w:type="dxa"/>
            <w:hideMark/>
          </w:tcPr>
          <w:p w14:paraId="3707492A" w14:textId="77777777" w:rsidR="0078586D" w:rsidRPr="0078586D" w:rsidRDefault="0078586D">
            <w:pPr>
              <w:pStyle w:val="Textkrper"/>
              <w:tabs>
                <w:tab w:val="left" w:pos="1065"/>
              </w:tabs>
              <w:autoSpaceDE/>
              <w:adjustRightInd/>
              <w:spacing w:before="120" w:after="120" w:line="276" w:lineRule="auto"/>
              <w:rPr>
                <w:rFonts w:ascii="Arial" w:hAnsi="Arial" w:cs="Times New Roman"/>
                <w:bCs w:val="0"/>
                <w:szCs w:val="24"/>
                <w:lang w:val="de-DE"/>
              </w:rPr>
            </w:pPr>
            <w:proofErr w:type="spellStart"/>
            <w:r w:rsidRPr="0078586D">
              <w:rPr>
                <w:rFonts w:ascii="Arial" w:hAnsi="Arial"/>
                <w:lang w:val="de-DE"/>
              </w:rPr>
              <w:t>Contacto</w:t>
            </w:r>
            <w:proofErr w:type="spellEnd"/>
            <w:r w:rsidRPr="0078586D">
              <w:rPr>
                <w:rFonts w:ascii="Arial" w:hAnsi="Arial"/>
                <w:lang w:val="de-DE"/>
              </w:rPr>
              <w:t xml:space="preserve"> </w:t>
            </w:r>
            <w:proofErr w:type="spellStart"/>
            <w:r w:rsidRPr="0078586D">
              <w:rPr>
                <w:rFonts w:ascii="Arial" w:hAnsi="Arial"/>
                <w:lang w:val="de-DE"/>
              </w:rPr>
              <w:t>para</w:t>
            </w:r>
            <w:proofErr w:type="spellEnd"/>
            <w:r w:rsidRPr="0078586D">
              <w:rPr>
                <w:rFonts w:ascii="Arial" w:hAnsi="Arial"/>
                <w:lang w:val="de-DE"/>
              </w:rPr>
              <w:t xml:space="preserve"> la </w:t>
            </w:r>
            <w:proofErr w:type="spellStart"/>
            <w:r w:rsidRPr="0078586D">
              <w:rPr>
                <w:rFonts w:ascii="Arial" w:hAnsi="Arial"/>
                <w:lang w:val="de-DE"/>
              </w:rPr>
              <w:t>prensa</w:t>
            </w:r>
            <w:proofErr w:type="spellEnd"/>
            <w:r w:rsidRPr="0078586D">
              <w:rPr>
                <w:rFonts w:ascii="Arial" w:hAnsi="Arial"/>
                <w:lang w:val="de-DE"/>
              </w:rPr>
              <w:t>:</w:t>
            </w:r>
          </w:p>
          <w:p w14:paraId="2D8EA65A" w14:textId="77777777" w:rsidR="0078586D" w:rsidRPr="0078586D" w:rsidRDefault="0078586D">
            <w:pPr>
              <w:tabs>
                <w:tab w:val="left" w:pos="1065"/>
              </w:tabs>
              <w:spacing w:before="120" w:after="120" w:line="276" w:lineRule="auto"/>
              <w:rPr>
                <w:rFonts w:ascii="Arial" w:hAnsi="Arial" w:cs="Arial"/>
                <w:bCs/>
                <w:sz w:val="20"/>
                <w:lang w:val="de-DE"/>
              </w:rPr>
            </w:pPr>
            <w:r w:rsidRPr="0078586D">
              <w:rPr>
                <w:rFonts w:ascii="Arial" w:hAnsi="Arial"/>
                <w:sz w:val="20"/>
                <w:lang w:val="de-DE"/>
              </w:rPr>
              <w:t>HighTech communications GmbH</w:t>
            </w:r>
            <w:r w:rsidRPr="0078586D">
              <w:rPr>
                <w:lang w:val="de-DE"/>
              </w:rPr>
              <w:br/>
            </w:r>
            <w:r w:rsidRPr="0078586D">
              <w:rPr>
                <w:rFonts w:ascii="Arial" w:hAnsi="Arial"/>
                <w:sz w:val="20"/>
                <w:lang w:val="de-DE"/>
              </w:rPr>
              <w:t>Brigitte Basilio</w:t>
            </w:r>
            <w:r w:rsidRPr="0078586D">
              <w:rPr>
                <w:lang w:val="de-DE"/>
              </w:rPr>
              <w:br/>
            </w:r>
            <w:proofErr w:type="spellStart"/>
            <w:r w:rsidRPr="0078586D">
              <w:rPr>
                <w:rFonts w:ascii="Arial" w:hAnsi="Arial"/>
                <w:sz w:val="20"/>
                <w:lang w:val="de-DE"/>
              </w:rPr>
              <w:t>Brunhamstrasse</w:t>
            </w:r>
            <w:proofErr w:type="spellEnd"/>
            <w:r w:rsidRPr="0078586D">
              <w:rPr>
                <w:rFonts w:ascii="Arial" w:hAnsi="Arial"/>
                <w:sz w:val="20"/>
                <w:lang w:val="de-DE"/>
              </w:rPr>
              <w:t xml:space="preserve"> 21</w:t>
            </w:r>
            <w:r w:rsidRPr="0078586D">
              <w:rPr>
                <w:lang w:val="de-DE"/>
              </w:rPr>
              <w:br/>
            </w:r>
            <w:r w:rsidRPr="0078586D">
              <w:rPr>
                <w:rFonts w:ascii="Arial" w:hAnsi="Arial"/>
                <w:sz w:val="20"/>
                <w:lang w:val="de-DE"/>
              </w:rPr>
              <w:t>81249 München</w:t>
            </w:r>
            <w:r w:rsidRPr="0078586D">
              <w:rPr>
                <w:rFonts w:ascii="Arial" w:hAnsi="Arial"/>
                <w:sz w:val="20"/>
                <w:lang w:val="de-DE"/>
              </w:rPr>
              <w:br/>
            </w:r>
            <w:proofErr w:type="spellStart"/>
            <w:r w:rsidRPr="0078586D">
              <w:rPr>
                <w:rFonts w:ascii="Arial" w:hAnsi="Arial"/>
                <w:sz w:val="20"/>
                <w:lang w:val="de-DE"/>
              </w:rPr>
              <w:t>Alemania</w:t>
            </w:r>
            <w:proofErr w:type="spellEnd"/>
          </w:p>
          <w:p w14:paraId="54909938" w14:textId="77777777" w:rsidR="0078586D" w:rsidRPr="0078586D" w:rsidRDefault="0078586D">
            <w:pPr>
              <w:tabs>
                <w:tab w:val="left" w:pos="1065"/>
              </w:tabs>
              <w:spacing w:before="120" w:after="120" w:line="276" w:lineRule="auto"/>
              <w:rPr>
                <w:rFonts w:ascii="Arial" w:hAnsi="Arial" w:cs="Arial"/>
                <w:bCs/>
                <w:sz w:val="20"/>
                <w:lang w:val="de-DE"/>
              </w:rPr>
            </w:pPr>
            <w:r w:rsidRPr="0078586D">
              <w:rPr>
                <w:rFonts w:ascii="Arial" w:hAnsi="Arial"/>
                <w:sz w:val="20"/>
                <w:lang w:val="de-DE"/>
              </w:rPr>
              <w:t xml:space="preserve">Tel.: +49 89 500778-20 </w:t>
            </w:r>
            <w:r w:rsidRPr="0078586D">
              <w:rPr>
                <w:lang w:val="de-DE"/>
              </w:rPr>
              <w:br/>
            </w:r>
            <w:proofErr w:type="spellStart"/>
            <w:r w:rsidRPr="0078586D">
              <w:rPr>
                <w:rFonts w:ascii="Arial" w:hAnsi="Arial"/>
                <w:sz w:val="20"/>
                <w:lang w:val="de-DE"/>
              </w:rPr>
              <w:t>Correo</w:t>
            </w:r>
            <w:proofErr w:type="spellEnd"/>
            <w:r w:rsidRPr="0078586D">
              <w:rPr>
                <w:rFonts w:ascii="Arial" w:hAnsi="Arial"/>
                <w:sz w:val="20"/>
                <w:lang w:val="de-DE"/>
              </w:rPr>
              <w:t xml:space="preserve"> </w:t>
            </w:r>
            <w:proofErr w:type="spellStart"/>
            <w:r w:rsidRPr="0078586D">
              <w:rPr>
                <w:rFonts w:ascii="Arial" w:hAnsi="Arial"/>
                <w:sz w:val="20"/>
                <w:lang w:val="de-DE"/>
              </w:rPr>
              <w:t>electrónico</w:t>
            </w:r>
            <w:proofErr w:type="spellEnd"/>
            <w:r w:rsidRPr="0078586D">
              <w:rPr>
                <w:rFonts w:ascii="Arial" w:hAnsi="Arial"/>
                <w:sz w:val="20"/>
                <w:lang w:val="de-DE"/>
              </w:rPr>
              <w:t>: b.basilio@htcm.de</w:t>
            </w:r>
          </w:p>
          <w:p w14:paraId="4A52E0F8" w14:textId="77777777" w:rsidR="0078586D" w:rsidRPr="0078586D" w:rsidRDefault="0078586D">
            <w:pPr>
              <w:tabs>
                <w:tab w:val="left" w:pos="1065"/>
              </w:tabs>
              <w:spacing w:before="120" w:after="120" w:line="276" w:lineRule="auto"/>
              <w:rPr>
                <w:rFonts w:ascii="Arial" w:hAnsi="Arial" w:cs="Arial"/>
                <w:bCs/>
                <w:sz w:val="20"/>
                <w:lang w:val="de-DE"/>
              </w:rPr>
            </w:pPr>
            <w:r w:rsidRPr="0078586D">
              <w:rPr>
                <w:rFonts w:ascii="Arial" w:hAnsi="Arial"/>
                <w:sz w:val="20"/>
                <w:lang w:val="de-DE"/>
              </w:rPr>
              <w:t xml:space="preserve">www.htcm.de </w:t>
            </w:r>
          </w:p>
        </w:tc>
      </w:tr>
      <w:bookmarkEnd w:id="1"/>
    </w:tbl>
    <w:p w14:paraId="14732BA9" w14:textId="77777777" w:rsidR="0078586D" w:rsidRPr="0078586D" w:rsidRDefault="0078586D" w:rsidP="0078586D">
      <w:pPr>
        <w:pStyle w:val="Textkrper"/>
        <w:spacing w:before="120" w:after="120" w:line="276" w:lineRule="auto"/>
        <w:rPr>
          <w:rFonts w:cs="Times New Roman"/>
          <w:lang w:val="de-DE"/>
        </w:rPr>
      </w:pPr>
    </w:p>
    <w:p w14:paraId="215EB8D4" w14:textId="77777777" w:rsidR="0078586D" w:rsidRPr="0078586D" w:rsidRDefault="0078586D" w:rsidP="0078586D">
      <w:pPr>
        <w:pStyle w:val="Textkrper"/>
        <w:spacing w:before="120" w:after="120" w:line="276" w:lineRule="auto"/>
        <w:rPr>
          <w:lang w:val="de-DE"/>
        </w:rPr>
      </w:pPr>
    </w:p>
    <w:p w14:paraId="69ECBE79" w14:textId="77777777" w:rsidR="0078586D" w:rsidRPr="0078586D" w:rsidRDefault="0078586D">
      <w:pPr>
        <w:pStyle w:val="PITextkrper"/>
        <w:rPr>
          <w:b/>
          <w:bCs/>
          <w:sz w:val="20"/>
          <w:lang w:val="de-DE"/>
        </w:rPr>
      </w:pPr>
    </w:p>
    <w:sectPr w:rsidR="0078586D" w:rsidRPr="0078586D">
      <w:headerReference w:type="default" r:id="rId13"/>
      <w:footerReference w:type="default" r:id="rId14"/>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F61711" w14:textId="77777777" w:rsidR="000B24B6" w:rsidRDefault="0078586D">
      <w:r>
        <w:separator/>
      </w:r>
    </w:p>
  </w:endnote>
  <w:endnote w:type="continuationSeparator" w:id="0">
    <w:p w14:paraId="6C0C96C7" w14:textId="77777777" w:rsidR="000B24B6" w:rsidRDefault="007858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C7CDA4" w14:textId="77777777" w:rsidR="000B24B6" w:rsidRDefault="0078586D">
    <w:pPr>
      <w:pStyle w:val="Fuzeile"/>
      <w:tabs>
        <w:tab w:val="clear" w:pos="4536"/>
        <w:tab w:val="clear" w:pos="9072"/>
        <w:tab w:val="right" w:pos="7088"/>
      </w:tabs>
      <w:rPr>
        <w:rFonts w:ascii="Arial" w:hAnsi="Arial" w:cs="Arial"/>
        <w:noProof/>
        <w:snapToGrid w:val="0"/>
        <w:sz w:val="16"/>
        <w:szCs w:val="16"/>
      </w:rPr>
    </w:pPr>
    <w:r>
      <w:rPr>
        <w:rFonts w:ascii="Arial" w:hAnsi="Arial" w:cs="Arial"/>
        <w:snapToGrid w:val="0"/>
        <w:sz w:val="16"/>
      </w:rPr>
      <w:fldChar w:fldCharType="begin"/>
    </w:r>
    <w:r>
      <w:rPr>
        <w:rFonts w:ascii="Arial" w:hAnsi="Arial" w:cs="Arial"/>
        <w:snapToGrid w:val="0"/>
        <w:sz w:val="16"/>
      </w:rPr>
      <w:instrText xml:space="preserve"> FILENAME  \* MERGEFORMAT </w:instrText>
    </w:r>
    <w:r>
      <w:rPr>
        <w:rFonts w:ascii="Arial" w:hAnsi="Arial" w:cs="Arial"/>
        <w:snapToGrid w:val="0"/>
        <w:sz w:val="16"/>
      </w:rPr>
      <w:fldChar w:fldCharType="separate"/>
    </w:r>
    <w:r>
      <w:rPr>
        <w:rFonts w:ascii="Arial" w:hAnsi="Arial" w:cs="Arial"/>
        <w:noProof/>
        <w:snapToGrid w:val="0"/>
        <w:sz w:val="16"/>
      </w:rPr>
      <w:t>WTH1PI1297_es.docx</w:t>
    </w:r>
    <w:r>
      <w:rPr>
        <w:rFonts w:ascii="Arial" w:hAnsi="Arial" w:cs="Arial"/>
        <w:snapToGrid w:val="0"/>
        <w:sz w:val="16"/>
      </w:rPr>
      <w:fldChar w:fldCharType="end"/>
    </w:r>
    <w:r>
      <w:rPr>
        <w:rFonts w:ascii="Arial" w:hAnsi="Arial"/>
        <w:snapToGrid w:val="0"/>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F7E0E4" w14:textId="77777777" w:rsidR="000B24B6" w:rsidRDefault="0078586D">
      <w:r>
        <w:separator/>
      </w:r>
    </w:p>
  </w:footnote>
  <w:footnote w:type="continuationSeparator" w:id="0">
    <w:p w14:paraId="02B81279" w14:textId="77777777" w:rsidR="000B24B6" w:rsidRDefault="007858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4305E" w14:textId="77777777" w:rsidR="000B24B6" w:rsidRDefault="0078586D">
    <w:pPr>
      <w:pStyle w:val="Kopfzeile"/>
      <w:tabs>
        <w:tab w:val="clear" w:pos="9072"/>
        <w:tab w:val="right" w:pos="9498"/>
      </w:tabs>
    </w:pPr>
    <w:r>
      <w:rPr>
        <w:noProof/>
        <w:lang w:eastAsia="zh-TW"/>
      </w:rPr>
      <w:drawing>
        <wp:anchor distT="0" distB="0" distL="114300" distR="114300" simplePos="0" relativeHeight="251657728" behindDoc="1" locked="0" layoutInCell="0" allowOverlap="1" wp14:anchorId="2156167B" wp14:editId="7EA92B2C">
          <wp:simplePos x="0" y="0"/>
          <wp:positionH relativeFrom="column">
            <wp:posOffset>4191000</wp:posOffset>
          </wp:positionH>
          <wp:positionV relativeFrom="paragraph">
            <wp:posOffset>114935</wp:posOffset>
          </wp:positionV>
          <wp:extent cx="1889760" cy="756285"/>
          <wp:effectExtent l="0" t="0" r="0" b="0"/>
          <wp:wrapNone/>
          <wp:docPr id="1"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A65641"/>
    <w:multiLevelType w:val="hybridMultilevel"/>
    <w:tmpl w:val="199E4A94"/>
    <w:lvl w:ilvl="0" w:tplc="D9284CAE">
      <w:start w:val="5"/>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A2964EF"/>
    <w:multiLevelType w:val="hybridMultilevel"/>
    <w:tmpl w:val="29C4A9DA"/>
    <w:lvl w:ilvl="0" w:tplc="4192D80E">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B422206"/>
    <w:multiLevelType w:val="hybridMultilevel"/>
    <w:tmpl w:val="67E2D026"/>
    <w:lvl w:ilvl="0" w:tplc="11AC66C0">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44A7DF0"/>
    <w:multiLevelType w:val="hybridMultilevel"/>
    <w:tmpl w:val="F1142D86"/>
    <w:lvl w:ilvl="0" w:tplc="9528BB46">
      <w:start w:val="5"/>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56208979">
    <w:abstractNumId w:val="4"/>
  </w:num>
  <w:num w:numId="2" w16cid:durableId="604725469">
    <w:abstractNumId w:val="1"/>
  </w:num>
  <w:num w:numId="3" w16cid:durableId="34427954">
    <w:abstractNumId w:val="2"/>
  </w:num>
  <w:num w:numId="4" w16cid:durableId="99188313">
    <w:abstractNumId w:val="3"/>
  </w:num>
  <w:num w:numId="5" w16cid:durableId="8282563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24B6"/>
    <w:rsid w:val="000B24B6"/>
    <w:rsid w:val="00150C71"/>
    <w:rsid w:val="0078586D"/>
    <w:rsid w:val="00D77153"/>
  </w:rsids>
  <m:mathPr>
    <m:mathFont m:val="Cambria Math"/>
    <m:brkBin m:val="before"/>
    <m:brkBinSub m:val="--"/>
    <m:smallFrac m:val="0"/>
    <m:dispDef/>
    <m:lMargin m:val="0"/>
    <m:rMargin m:val="0"/>
    <m:defJc m:val="centerGroup"/>
    <m:wrapIndent m:val="1440"/>
    <m:intLim m:val="subSup"/>
    <m:naryLim m:val="undOvr"/>
  </m:mathPr>
  <w:themeFontLang w:val="de-DE"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62E01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s-ES"/>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link w:val="PITextkrperZchn"/>
    <w:pPr>
      <w:overflowPunct w:val="0"/>
      <w:autoSpaceDE w:val="0"/>
      <w:autoSpaceDN w:val="0"/>
      <w:adjustRightInd w:val="0"/>
      <w:spacing w:after="120" w:line="280" w:lineRule="exact"/>
      <w:jc w:val="both"/>
      <w:textAlignment w:val="baseline"/>
    </w:pPr>
    <w:rPr>
      <w:rFonts w:ascii="Arial" w:hAnsi="Arial"/>
      <w:sz w:val="22"/>
      <w:szCs w:val="20"/>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character" w:customStyle="1" w:styleId="berschrift3Zchn">
    <w:name w:val="Überschrift 3 Zchn"/>
    <w:link w:val="berschrift3"/>
    <w:semiHidden/>
    <w:rPr>
      <w:rFonts w:ascii="Cambria" w:eastAsia="Times New Roman" w:hAnsi="Cambria" w:cs="Times New Roman"/>
      <w:b/>
      <w:bCs/>
      <w:sz w:val="26"/>
      <w:szCs w:val="26"/>
    </w:rPr>
  </w:style>
  <w:style w:type="paragraph" w:styleId="berarbeitung">
    <w:name w:val="Revision"/>
    <w:hidden/>
    <w:uiPriority w:val="99"/>
    <w:semiHidden/>
    <w:rPr>
      <w:sz w:val="24"/>
      <w:szCs w:val="24"/>
    </w:rPr>
  </w:style>
  <w:style w:type="character" w:customStyle="1" w:styleId="PITextkrperZchn">
    <w:name w:val="PI_Textkörper Zchn"/>
    <w:link w:val="PITextkrper"/>
    <w:locked/>
    <w:rPr>
      <w:rFonts w:ascii="Arial" w:hAnsi="Arial"/>
      <w:sz w:val="22"/>
      <w:lang w:val="es-ES"/>
    </w:rPr>
  </w:style>
  <w:style w:type="character" w:customStyle="1" w:styleId="NichtaufgelsteErwhnung1">
    <w:name w:val="Nicht aufgelöste Erwähnung1"/>
    <w:uiPriority w:val="99"/>
    <w:semiHidden/>
    <w:unhideWhenUsed/>
    <w:rPr>
      <w:color w:val="605E5C"/>
      <w:shd w:val="clear" w:color="auto" w:fill="E1DFDD"/>
    </w:rPr>
  </w:style>
  <w:style w:type="paragraph" w:styleId="Listenabsatz">
    <w:name w:val="List Paragraph"/>
    <w:basedOn w:val="Standard"/>
    <w:uiPriority w:val="34"/>
    <w:qFormat/>
    <w:pPr>
      <w:ind w:left="720"/>
      <w:contextualSpacing/>
    </w:pPr>
    <w:rPr>
      <w:rFonts w:ascii="Calibri" w:eastAsia="Calibri" w:hAnsi="Calibri" w:cs="Calibri"/>
      <w:sz w:val="22"/>
      <w:szCs w:val="22"/>
      <w:lang w:eastAsia="en-US"/>
    </w:rPr>
  </w:style>
  <w:style w:type="character" w:customStyle="1" w:styleId="contact-label">
    <w:name w:val="contact-label"/>
    <w:basedOn w:val="Absatz-Standardschriftart"/>
  </w:style>
  <w:style w:type="character" w:styleId="BesuchterLink">
    <w:name w:val="FollowedHyperlink"/>
    <w:rPr>
      <w:color w:val="954F72"/>
      <w:u w:val="single"/>
    </w:rPr>
  </w:style>
  <w:style w:type="character" w:customStyle="1" w:styleId="cf01">
    <w:name w:val="cf01"/>
    <w:basedOn w:val="Absatz-Standardschriftart"/>
    <w:rPr>
      <w:rFonts w:ascii="Segoe UI" w:hAnsi="Segoe UI" w:cs="Segoe UI" w:hint="default"/>
      <w:sz w:val="18"/>
      <w:szCs w:val="18"/>
    </w:rPr>
  </w:style>
  <w:style w:type="character" w:styleId="NichtaufgelsteErwhnung">
    <w:name w:val="Unresolved Mention"/>
    <w:basedOn w:val="Absatz-Standardschriftart"/>
    <w:uiPriority w:val="99"/>
    <w:semiHidden/>
    <w:unhideWhenUsed/>
    <w:rsid w:val="00150C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443233697">
      <w:bodyDiv w:val="1"/>
      <w:marLeft w:val="0"/>
      <w:marRight w:val="0"/>
      <w:marTop w:val="0"/>
      <w:marBottom w:val="0"/>
      <w:divBdr>
        <w:top w:val="none" w:sz="0" w:space="0" w:color="auto"/>
        <w:left w:val="none" w:sz="0" w:space="0" w:color="auto"/>
        <w:bottom w:val="none" w:sz="0" w:space="0" w:color="auto"/>
        <w:right w:val="none" w:sz="0" w:space="0" w:color="auto"/>
      </w:divBdr>
    </w:div>
    <w:div w:id="450242541">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079787242">
      <w:bodyDiv w:val="1"/>
      <w:marLeft w:val="0"/>
      <w:marRight w:val="0"/>
      <w:marTop w:val="0"/>
      <w:marBottom w:val="0"/>
      <w:divBdr>
        <w:top w:val="none" w:sz="0" w:space="0" w:color="auto"/>
        <w:left w:val="none" w:sz="0" w:space="0" w:color="auto"/>
        <w:bottom w:val="none" w:sz="0" w:space="0" w:color="auto"/>
        <w:right w:val="none" w:sz="0" w:space="0" w:color="auto"/>
      </w:divBdr>
    </w:div>
    <w:div w:id="118648372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09834400">
      <w:bodyDiv w:val="1"/>
      <w:marLeft w:val="0"/>
      <w:marRight w:val="0"/>
      <w:marTop w:val="0"/>
      <w:marBottom w:val="0"/>
      <w:divBdr>
        <w:top w:val="none" w:sz="0" w:space="0" w:color="auto"/>
        <w:left w:val="none" w:sz="0" w:space="0" w:color="auto"/>
        <w:bottom w:val="none" w:sz="0" w:space="0" w:color="auto"/>
        <w:right w:val="none" w:sz="0" w:space="0" w:color="auto"/>
      </w:divBdr>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we-online.com/en/components/products/led/optoelectronic_optocoupler/wl-ocpt_optocoupler_phototransisto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kk.htcm.de/press-releases/wuerth/"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A5E8FC-09D0-4EB6-A259-6F4D4D62D2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639</Words>
  <Characters>4376</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Pressemitteilung</vt:lpstr>
    </vt:vector>
  </TitlesOfParts>
  <Company/>
  <LinksUpToDate>false</LinksUpToDate>
  <CharactersWithSpaces>5005</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
  <cp:keywords/>
  <cp:lastModifiedBy/>
  <cp:revision>1</cp:revision>
  <cp:lastPrinted>2017-06-23T08:32:00Z</cp:lastPrinted>
  <dcterms:created xsi:type="dcterms:W3CDTF">2023-10-18T15:34:00Z</dcterms:created>
  <dcterms:modified xsi:type="dcterms:W3CDTF">2023-10-19T09:25:00Z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