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21EB" w14:textId="77777777" w:rsidR="00337304" w:rsidRDefault="00BD0DEE">
      <w:pPr>
        <w:pStyle w:val="berschrift1"/>
        <w:spacing w:before="720" w:after="720" w:line="260" w:lineRule="exact"/>
        <w:rPr>
          <w:sz w:val="20"/>
          <w:lang w:bidi="it-IT"/>
        </w:rPr>
      </w:pPr>
      <w:r>
        <w:rPr>
          <w:sz w:val="20"/>
          <w:lang w:bidi="fr-FR"/>
        </w:rPr>
        <w:t>COMMUNIQUÉ DE PRESSE</w:t>
      </w:r>
    </w:p>
    <w:p w14:paraId="7288127A" w14:textId="77777777" w:rsidR="00337304" w:rsidRDefault="00BD0DEE">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Würth Elektronik élargit le guide d’application aux applications spécifiques à la branche</w:t>
      </w:r>
    </w:p>
    <w:p w14:paraId="6939D7EA" w14:textId="77777777" w:rsidR="00337304" w:rsidRDefault="00BD0DEE">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Trouvez les circuits et les composants appropriés grâce au guide d’application et de branches</w:t>
      </w:r>
    </w:p>
    <w:p w14:paraId="6B1D271D" w14:textId="011116B0" w:rsidR="00337304" w:rsidRDefault="00BD0DEE">
      <w:pPr>
        <w:pStyle w:val="Textkrper"/>
        <w:spacing w:before="120" w:after="120" w:line="260" w:lineRule="exact"/>
        <w:jc w:val="both"/>
        <w:rPr>
          <w:rFonts w:ascii="Arial" w:hAnsi="Arial"/>
        </w:rPr>
      </w:pPr>
      <w:r>
        <w:rPr>
          <w:rFonts w:ascii="Arial" w:eastAsia="Arial" w:hAnsi="Arial"/>
          <w:color w:val="000000"/>
          <w:lang w:bidi="fr-FR"/>
        </w:rPr>
        <w:t>Waldenburg</w:t>
      </w:r>
      <w:r w:rsidR="00FF3AA8">
        <w:rPr>
          <w:rFonts w:ascii="Arial" w:eastAsia="Arial" w:hAnsi="Arial"/>
          <w:color w:val="000000"/>
          <w:lang w:bidi="fr-FR"/>
        </w:rPr>
        <w:t xml:space="preserve"> (Allemagne)</w:t>
      </w:r>
      <w:r>
        <w:rPr>
          <w:rFonts w:ascii="Arial" w:eastAsia="Arial" w:hAnsi="Arial"/>
          <w:color w:val="000000"/>
          <w:lang w:bidi="fr-FR"/>
        </w:rPr>
        <w:t xml:space="preserve">, le </w:t>
      </w:r>
      <w:r w:rsidRPr="00BD0DEE">
        <w:rPr>
          <w:rFonts w:ascii="Arial" w:eastAsia="Arial" w:hAnsi="Arial"/>
          <w:color w:val="000000"/>
          <w:lang w:bidi="fr-FR"/>
        </w:rPr>
        <w:t>16 octobre 2023</w:t>
      </w:r>
      <w:r>
        <w:rPr>
          <w:rFonts w:ascii="Arial" w:eastAsia="Arial" w:hAnsi="Arial"/>
          <w:color w:val="000000"/>
          <w:lang w:bidi="fr-FR"/>
        </w:rPr>
        <w:t xml:space="preserve"> - Le guide d’application dans le catalogue en ligne de Würth Elektronik a été </w:t>
      </w:r>
      <w:hyperlink r:id="rId8" w:history="1">
        <w:r>
          <w:rPr>
            <w:rStyle w:val="Hyperlink"/>
            <w:rFonts w:ascii="Arial" w:eastAsia="Arial" w:hAnsi="Arial"/>
            <w:lang w:bidi="fr-FR"/>
          </w:rPr>
          <w:t>étendu au guide d’application et de branches </w:t>
        </w:r>
      </w:hyperlink>
      <w:r>
        <w:rPr>
          <w:rFonts w:ascii="Arial" w:eastAsia="Arial" w:hAnsi="Arial"/>
          <w:lang w:bidi="fr-FR"/>
        </w:rPr>
        <w:t xml:space="preserve">: Les secteurs de l’électroménager, de l’outillage électrique et de </w:t>
      </w:r>
      <w:r>
        <w:rPr>
          <w:rFonts w:ascii="Arial" w:eastAsia="Arial" w:hAnsi="Arial"/>
          <w:lang w:bidi="fr-FR"/>
        </w:rPr>
        <w:t>la mobilité électrique (e-mobility)</w:t>
      </w:r>
      <w:r>
        <w:rPr>
          <w:rFonts w:ascii="Arial" w:eastAsia="Arial" w:hAnsi="Arial"/>
          <w:lang w:bidi="fr-FR"/>
        </w:rPr>
        <w:t xml:space="preserve"> sont désormais disponibles. D’autres suivront. Le fabricant de composants électroniques et électromécaniques poursuit ainsi son concept vis</w:t>
      </w:r>
      <w:r>
        <w:rPr>
          <w:rFonts w:ascii="Arial" w:eastAsia="Arial" w:hAnsi="Arial"/>
          <w:lang w:bidi="fr-FR"/>
        </w:rPr>
        <w:t xml:space="preserve">ant à aider les </w:t>
      </w:r>
      <w:r>
        <w:rPr>
          <w:rFonts w:ascii="Arial" w:eastAsia="Arial" w:hAnsi="Arial"/>
          <w:lang w:bidi="fr-FR"/>
        </w:rPr>
        <w:t xml:space="preserve">designers </w:t>
      </w:r>
      <w:r>
        <w:rPr>
          <w:rFonts w:ascii="Arial" w:eastAsia="Arial" w:hAnsi="Arial"/>
          <w:lang w:bidi="fr-FR"/>
        </w:rPr>
        <w:t>à réaliser leurs conceptions et à choisir les composants appropriés en se basant sur des applications typ</w:t>
      </w:r>
      <w:r>
        <w:rPr>
          <w:rFonts w:ascii="Arial" w:eastAsia="Arial" w:hAnsi="Arial"/>
          <w:lang w:bidi="fr-FR"/>
        </w:rPr>
        <w:t xml:space="preserve">es. L’application Web présente pour chaque appareil un schéma fonctionnel spécialement développé, dans </w:t>
      </w:r>
      <w:r>
        <w:rPr>
          <w:rFonts w:ascii="Arial" w:eastAsia="Arial" w:hAnsi="Arial"/>
          <w:lang w:bidi="fr-FR"/>
        </w:rPr>
        <w:t>lequel on trouve non seulement le schéma</w:t>
      </w:r>
      <w:r>
        <w:rPr>
          <w:rFonts w:ascii="Arial" w:eastAsia="Arial" w:hAnsi="Arial"/>
          <w:lang w:bidi="fr-FR"/>
        </w:rPr>
        <w:t>, mais aussi les produits appropriés de la gamme de Würth Elektronik.</w:t>
      </w:r>
    </w:p>
    <w:p w14:paraId="58726E15" w14:textId="0486AB3B" w:rsidR="00337304" w:rsidRDefault="00BD0DEE">
      <w:pPr>
        <w:pStyle w:val="Textkrper"/>
        <w:spacing w:before="120" w:after="120" w:line="260" w:lineRule="exact"/>
        <w:jc w:val="both"/>
        <w:rPr>
          <w:rFonts w:ascii="Arial" w:hAnsi="Arial"/>
          <w:b w:val="0"/>
          <w:bCs w:val="0"/>
        </w:rPr>
      </w:pPr>
      <w:r>
        <w:rPr>
          <w:rFonts w:ascii="Arial" w:eastAsia="Arial" w:hAnsi="Arial"/>
          <w:b w:val="0"/>
          <w:lang w:bidi="fr-FR"/>
        </w:rPr>
        <w:t>La nouvelle offre démarre pour le secteur « électroménager » avec quatre appareils : lave-linge, machines à café, réfrigérateurs et ta</w:t>
      </w:r>
      <w:r>
        <w:rPr>
          <w:rFonts w:ascii="Arial" w:eastAsia="Arial" w:hAnsi="Arial"/>
          <w:b w:val="0"/>
          <w:lang w:bidi="fr-FR"/>
        </w:rPr>
        <w:t>bles de cuisson. Pour le segment « e-mobilit</w:t>
      </w:r>
      <w:r>
        <w:rPr>
          <w:rFonts w:ascii="Arial" w:eastAsia="Arial" w:hAnsi="Arial"/>
          <w:b w:val="0"/>
          <w:lang w:bidi="fr-FR"/>
        </w:rPr>
        <w:t>y</w:t>
      </w:r>
      <w:r>
        <w:rPr>
          <w:rFonts w:ascii="Arial" w:eastAsia="Arial" w:hAnsi="Arial"/>
          <w:b w:val="0"/>
          <w:lang w:bidi="fr-FR"/>
        </w:rPr>
        <w:t> », il s’agit de véhicules électriques légers, de stations de recharge et de chargeurs embarqués. La section « Outils électriques » se divise en plusieurs chapitres : « Battery Charger », « Battery Pack », « DC</w:t>
      </w:r>
      <w:r>
        <w:rPr>
          <w:rFonts w:ascii="Arial" w:eastAsia="Arial" w:hAnsi="Arial"/>
          <w:b w:val="0"/>
          <w:lang w:bidi="fr-FR"/>
        </w:rPr>
        <w:t xml:space="preserve"> Power Tool », « AC Power Tool &lt; 1 kW » et « AC Power Tool &gt; 1 kW ».</w:t>
      </w:r>
    </w:p>
    <w:p w14:paraId="38F600DC" w14:textId="487B44FC" w:rsidR="00337304" w:rsidRDefault="00BD0DEE">
      <w:pPr>
        <w:pStyle w:val="Textkrper"/>
        <w:spacing w:before="120" w:after="120" w:line="260" w:lineRule="exact"/>
        <w:jc w:val="both"/>
        <w:rPr>
          <w:rFonts w:ascii="Arial" w:hAnsi="Arial"/>
          <w:b w:val="0"/>
          <w:bCs w:val="0"/>
        </w:rPr>
      </w:pPr>
      <w:r>
        <w:rPr>
          <w:rFonts w:ascii="Arial" w:eastAsia="Arial" w:hAnsi="Arial"/>
          <w:b w:val="0"/>
          <w:lang w:bidi="fr-FR"/>
        </w:rPr>
        <w:t xml:space="preserve">Le guide de </w:t>
      </w:r>
      <w:r>
        <w:rPr>
          <w:rFonts w:ascii="Arial" w:eastAsia="Arial" w:hAnsi="Arial"/>
          <w:b w:val="0"/>
          <w:lang w:bidi="fr-FR"/>
        </w:rPr>
        <w:t>branches (Industries)</w:t>
      </w:r>
      <w:r>
        <w:rPr>
          <w:rFonts w:ascii="Arial" w:eastAsia="Arial" w:hAnsi="Arial"/>
          <w:b w:val="0"/>
          <w:lang w:bidi="fr-FR"/>
        </w:rPr>
        <w:t xml:space="preserve"> est destiné à aider les développeurs à choisir les composants appropriés. L’idée est la suivante : Personne n’a besoin de réinventer le conver</w:t>
      </w:r>
      <w:r>
        <w:rPr>
          <w:rFonts w:ascii="Arial" w:eastAsia="Arial" w:hAnsi="Arial"/>
          <w:b w:val="0"/>
          <w:lang w:bidi="fr-FR"/>
        </w:rPr>
        <w:t>tisseur Buck, le filtre d’entrée DC ou la station de charge. Avec des outils de conception comme REDEXPERT, des designs de référence IC et de nombreuses notes d’application, le guide d’application et de branche</w:t>
      </w:r>
      <w:r>
        <w:rPr>
          <w:rFonts w:ascii="Arial" w:eastAsia="Arial" w:hAnsi="Arial"/>
          <w:b w:val="0"/>
          <w:lang w:bidi="fr-FR"/>
        </w:rPr>
        <w:t>s</w:t>
      </w:r>
      <w:r>
        <w:rPr>
          <w:rFonts w:ascii="Arial" w:eastAsia="Arial" w:hAnsi="Arial"/>
          <w:b w:val="0"/>
          <w:lang w:bidi="fr-FR"/>
        </w:rPr>
        <w:t xml:space="preserve"> complète l’offre de services de Würth Elektr</w:t>
      </w:r>
      <w:r>
        <w:rPr>
          <w:rFonts w:ascii="Arial" w:eastAsia="Arial" w:hAnsi="Arial"/>
          <w:b w:val="0"/>
          <w:lang w:bidi="fr-FR"/>
        </w:rPr>
        <w:t>onik. L’offre a débuté avec le guide d’application, qui fournit des informations sur les applications avec des descriptions détaillées, des schémas de câblage et des recommandations de produits pour les principales interfaces et les régulateurs de commutat</w:t>
      </w:r>
      <w:r>
        <w:rPr>
          <w:rFonts w:ascii="Arial" w:eastAsia="Arial" w:hAnsi="Arial"/>
          <w:b w:val="0"/>
          <w:lang w:bidi="fr-FR"/>
        </w:rPr>
        <w:t>ion.</w:t>
      </w:r>
    </w:p>
    <w:p w14:paraId="508BBA9B" w14:textId="77777777" w:rsidR="00337304" w:rsidRDefault="00BD0DEE">
      <w:pPr>
        <w:pStyle w:val="Textkrper"/>
        <w:spacing w:before="120" w:after="120" w:line="260" w:lineRule="exact"/>
        <w:jc w:val="both"/>
        <w:rPr>
          <w:rFonts w:ascii="Arial" w:hAnsi="Arial"/>
          <w:b w:val="0"/>
          <w:bCs w:val="0"/>
        </w:rPr>
      </w:pPr>
      <w:r>
        <w:rPr>
          <w:rFonts w:ascii="Arial" w:eastAsia="Arial" w:hAnsi="Arial"/>
          <w:b w:val="0"/>
          <w:lang w:bidi="fr-FR"/>
        </w:rPr>
        <w:t xml:space="preserve">Le guide d’application et de branches est accessible à l’adresse </w:t>
      </w:r>
      <w:hyperlink r:id="rId9" w:history="1">
        <w:r>
          <w:rPr>
            <w:rStyle w:val="Hyperlink"/>
            <w:rFonts w:ascii="Arial" w:eastAsia="Arial" w:hAnsi="Arial"/>
            <w:b w:val="0"/>
            <w:lang w:bidi="fr-FR"/>
          </w:rPr>
          <w:t>https://www.we-online.com/en/components/applicationguide</w:t>
        </w:r>
      </w:hyperlink>
      <w:r>
        <w:rPr>
          <w:rFonts w:ascii="Arial" w:eastAsia="Arial" w:hAnsi="Arial"/>
          <w:b w:val="0"/>
          <w:lang w:bidi="fr-FR"/>
        </w:rPr>
        <w:t>.</w:t>
      </w:r>
    </w:p>
    <w:p w14:paraId="1B82BF7A" w14:textId="77777777" w:rsidR="00337304" w:rsidRDefault="00337304">
      <w:pPr>
        <w:pStyle w:val="Textkrper"/>
        <w:spacing w:before="120" w:after="120" w:line="260" w:lineRule="exact"/>
        <w:jc w:val="both"/>
        <w:rPr>
          <w:rFonts w:ascii="Arial" w:hAnsi="Arial"/>
          <w:color w:val="000000"/>
        </w:rPr>
      </w:pPr>
    </w:p>
    <w:p w14:paraId="01F865C5" w14:textId="77777777" w:rsidR="00337304" w:rsidRDefault="00BD0DEE">
      <w:pPr>
        <w:pStyle w:val="Textkrper"/>
        <w:spacing w:before="120" w:after="120" w:line="260" w:lineRule="exact"/>
        <w:jc w:val="both"/>
        <w:rPr>
          <w:rFonts w:ascii="Arial" w:eastAsia="Arial" w:hAnsi="Arial"/>
          <w:b w:val="0"/>
          <w:lang w:bidi="fr-FR"/>
        </w:rPr>
      </w:pPr>
      <w:r>
        <w:rPr>
          <w:rFonts w:ascii="Arial" w:eastAsia="Arial" w:hAnsi="Arial"/>
          <w:b w:val="0"/>
          <w:lang w:bidi="fr-FR"/>
        </w:rPr>
        <w:br w:type="page"/>
      </w:r>
    </w:p>
    <w:p w14:paraId="4E3BB61A" w14:textId="77777777" w:rsidR="00FF3AA8" w:rsidRDefault="00FF3AA8">
      <w:pPr>
        <w:pStyle w:val="Textkrper"/>
        <w:spacing w:before="120" w:after="120" w:line="260" w:lineRule="exact"/>
        <w:jc w:val="both"/>
        <w:rPr>
          <w:rFonts w:ascii="Arial" w:hAnsi="Arial"/>
          <w:b w:val="0"/>
          <w:bCs w:val="0"/>
        </w:rPr>
      </w:pPr>
    </w:p>
    <w:p w14:paraId="3164DDC1" w14:textId="77777777" w:rsidR="00337304" w:rsidRPr="00FF3AA8" w:rsidRDefault="00337304">
      <w:pPr>
        <w:pStyle w:val="PITextkrper"/>
        <w:pBdr>
          <w:top w:val="single" w:sz="4" w:space="1" w:color="auto"/>
        </w:pBdr>
        <w:spacing w:before="240"/>
        <w:rPr>
          <w:b/>
          <w:sz w:val="18"/>
          <w:szCs w:val="18"/>
          <w:lang w:val="fr-FR"/>
        </w:rPr>
      </w:pPr>
    </w:p>
    <w:p w14:paraId="33E2C7D6" w14:textId="77777777" w:rsidR="00FF3AA8" w:rsidRPr="00591131" w:rsidRDefault="00FF3AA8" w:rsidP="00FF3AA8">
      <w:pPr>
        <w:spacing w:after="120" w:line="280" w:lineRule="exact"/>
        <w:rPr>
          <w:rFonts w:ascii="Arial" w:hAnsi="Arial" w:cs="Arial"/>
          <w:b/>
          <w:bCs/>
          <w:sz w:val="18"/>
          <w:szCs w:val="18"/>
        </w:rPr>
      </w:pPr>
      <w:r w:rsidRPr="00591131">
        <w:rPr>
          <w:rFonts w:ascii="Arial" w:hAnsi="Arial"/>
          <w:b/>
          <w:sz w:val="18"/>
        </w:rPr>
        <w:t>Images disponibles</w:t>
      </w:r>
    </w:p>
    <w:p w14:paraId="1E192FEA" w14:textId="77777777" w:rsidR="00FF3AA8" w:rsidRPr="00591131" w:rsidRDefault="00FF3AA8" w:rsidP="00FF3AA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37304" w14:paraId="252406EF" w14:textId="77777777">
        <w:trPr>
          <w:trHeight w:val="1701"/>
        </w:trPr>
        <w:tc>
          <w:tcPr>
            <w:tcW w:w="3510" w:type="dxa"/>
          </w:tcPr>
          <w:p w14:paraId="4EF3AF72" w14:textId="77777777" w:rsidR="00337304" w:rsidRDefault="00BD0DEE">
            <w:pPr>
              <w:pStyle w:val="txt"/>
              <w:rPr>
                <w:b/>
                <w:bCs/>
                <w:sz w:val="18"/>
              </w:rPr>
            </w:pPr>
            <w:r>
              <w:rPr>
                <w:b/>
                <w:lang w:bidi="fr-FR"/>
              </w:rPr>
              <w:br/>
            </w:r>
            <w:r>
              <w:rPr>
                <w:noProof/>
                <w:lang w:val="en-US" w:eastAsia="zh-CN"/>
              </w:rPr>
              <w:drawing>
                <wp:inline distT="0" distB="0" distL="0" distR="0" wp14:anchorId="6D150DFA" wp14:editId="5BC61665">
                  <wp:extent cx="2139950" cy="1196340"/>
                  <wp:effectExtent l="0" t="0" r="0" b="3810"/>
                  <wp:docPr id="2105597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39950" cy="1196340"/>
                          </a:xfrm>
                          <a:prstGeom prst="rect">
                            <a:avLst/>
                          </a:prstGeom>
                          <a:noFill/>
                          <a:ln>
                            <a:noFill/>
                          </a:ln>
                        </pic:spPr>
                      </pic:pic>
                    </a:graphicData>
                  </a:graphic>
                </wp:inline>
              </w:drawing>
            </w:r>
          </w:p>
          <w:p w14:paraId="759E7CDB" w14:textId="77777777" w:rsidR="00337304" w:rsidRDefault="00BD0DEE">
            <w:pPr>
              <w:pStyle w:val="txt"/>
              <w:rPr>
                <w:b/>
                <w:bCs/>
                <w:sz w:val="18"/>
              </w:rPr>
            </w:pPr>
            <w:r>
              <w:rPr>
                <w:sz w:val="16"/>
                <w:szCs w:val="16"/>
                <w:lang w:bidi="fr-FR"/>
              </w:rPr>
              <w:t xml:space="preserve">Source photo : Würth Elektronik </w:t>
            </w:r>
          </w:p>
          <w:p w14:paraId="5C28D298" w14:textId="77777777" w:rsidR="00337304" w:rsidRDefault="00BD0DEE">
            <w:pPr>
              <w:autoSpaceDE w:val="0"/>
              <w:autoSpaceDN w:val="0"/>
              <w:adjustRightInd w:val="0"/>
              <w:rPr>
                <w:rFonts w:ascii="Arial" w:hAnsi="Arial" w:cs="Arial"/>
                <w:b/>
                <w:bCs/>
                <w:sz w:val="18"/>
                <w:szCs w:val="18"/>
              </w:rPr>
            </w:pPr>
            <w:r>
              <w:rPr>
                <w:rFonts w:ascii="Arial" w:eastAsia="Arial" w:hAnsi="Arial" w:cs="Arial"/>
                <w:b/>
                <w:sz w:val="18"/>
                <w:szCs w:val="18"/>
                <w:lang w:bidi="fr-FR"/>
              </w:rPr>
              <w:t>Le guide d'application et de branches de Würth Elektronik facilite la conception et le choix des composants.</w:t>
            </w:r>
            <w:r>
              <w:rPr>
                <w:rFonts w:ascii="Arial" w:eastAsia="Arial" w:hAnsi="Arial" w:cs="Arial"/>
                <w:b/>
                <w:sz w:val="18"/>
                <w:szCs w:val="18"/>
                <w:lang w:bidi="fr-FR"/>
              </w:rPr>
              <w:br/>
            </w:r>
          </w:p>
        </w:tc>
      </w:tr>
    </w:tbl>
    <w:p w14:paraId="722AC002" w14:textId="77777777" w:rsidR="00337304" w:rsidRDefault="00337304">
      <w:pPr>
        <w:pStyle w:val="PITextkrper"/>
        <w:rPr>
          <w:b/>
          <w:bCs/>
          <w:sz w:val="18"/>
          <w:szCs w:val="18"/>
          <w:lang w:val="fr-FR"/>
        </w:rPr>
      </w:pPr>
    </w:p>
    <w:p w14:paraId="0B0E86BC" w14:textId="77777777" w:rsidR="00FF3AA8" w:rsidRDefault="00FF3AA8" w:rsidP="00FF3AA8">
      <w:pPr>
        <w:pStyle w:val="Textkrper"/>
        <w:spacing w:before="120" w:after="120" w:line="260" w:lineRule="exact"/>
        <w:jc w:val="both"/>
        <w:rPr>
          <w:rFonts w:ascii="Arial" w:hAnsi="Arial"/>
          <w:b w:val="0"/>
          <w:bCs w:val="0"/>
        </w:rPr>
      </w:pPr>
      <w:bookmarkStart w:id="0" w:name="_Hlk142468663"/>
    </w:p>
    <w:p w14:paraId="475385FB" w14:textId="77777777" w:rsidR="00FF3AA8" w:rsidRDefault="00FF3AA8" w:rsidP="00FF3AA8">
      <w:pPr>
        <w:pStyle w:val="PITextkrper"/>
        <w:pBdr>
          <w:top w:val="single" w:sz="4" w:space="1" w:color="auto"/>
        </w:pBdr>
        <w:spacing w:before="240"/>
        <w:rPr>
          <w:b/>
          <w:sz w:val="18"/>
          <w:szCs w:val="18"/>
        </w:rPr>
      </w:pPr>
    </w:p>
    <w:p w14:paraId="6A47C40D" w14:textId="77777777" w:rsidR="00FF3AA8" w:rsidRDefault="00FF3AA8" w:rsidP="00FF3AA8">
      <w:pPr>
        <w:pStyle w:val="Textkrper"/>
        <w:spacing w:before="120" w:after="120" w:line="276" w:lineRule="auto"/>
        <w:rPr>
          <w:rFonts w:ascii="Arial" w:hAnsi="Arial"/>
        </w:rPr>
      </w:pPr>
      <w:r>
        <w:rPr>
          <w:rFonts w:ascii="Arial" w:hAnsi="Arial"/>
        </w:rPr>
        <w:t xml:space="preserve">À propos du groupe Würth Elektronik eiSos </w:t>
      </w:r>
    </w:p>
    <w:p w14:paraId="5E3906B4" w14:textId="77777777" w:rsidR="00FF3AA8" w:rsidRPr="008A7283" w:rsidRDefault="00FF3AA8" w:rsidP="00FF3AA8">
      <w:pPr>
        <w:pStyle w:val="Textkrper"/>
        <w:spacing w:before="120" w:after="120" w:line="276" w:lineRule="auto"/>
        <w:jc w:val="both"/>
        <w:rPr>
          <w:rFonts w:ascii="Arial" w:hAnsi="Arial"/>
          <w:b w:val="0"/>
          <w:lang w:val="es-ES"/>
        </w:rPr>
      </w:pPr>
      <w:bookmarkStart w:id="1"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CC31B61" w14:textId="77777777" w:rsidR="00FF3AA8" w:rsidRPr="008A7283" w:rsidRDefault="00FF3AA8" w:rsidP="00FF3AA8">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73FE38F8" w14:textId="77777777" w:rsidR="00FF3AA8" w:rsidRPr="008A7283" w:rsidRDefault="00FF3AA8" w:rsidP="00FF3AA8">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ADC6F09" w14:textId="77777777" w:rsidR="00FF3AA8" w:rsidRPr="008A7283" w:rsidRDefault="00FF3AA8" w:rsidP="00FF3AA8">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3AC9940B" w14:textId="77777777" w:rsidR="00FF3AA8" w:rsidRDefault="00FF3AA8" w:rsidP="00FF3AA8">
      <w:pPr>
        <w:pStyle w:val="Textkrper"/>
        <w:spacing w:before="120" w:after="120" w:line="276" w:lineRule="auto"/>
        <w:jc w:val="both"/>
        <w:rPr>
          <w:rFonts w:ascii="Arial" w:hAnsi="Arial"/>
          <w:b w:val="0"/>
          <w:lang w:val="es-ES"/>
        </w:rPr>
      </w:pPr>
    </w:p>
    <w:p w14:paraId="759CB0AA" w14:textId="63C5EAB2" w:rsidR="00FF3AA8" w:rsidRPr="008A7283" w:rsidRDefault="00FF3AA8" w:rsidP="00FF3AA8">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7326877" w14:textId="77777777" w:rsidR="00FF3AA8" w:rsidRPr="008A7283" w:rsidRDefault="00FF3AA8" w:rsidP="00FF3AA8">
      <w:pPr>
        <w:pStyle w:val="Textkrper"/>
        <w:spacing w:before="120" w:after="120" w:line="276" w:lineRule="auto"/>
        <w:rPr>
          <w:lang w:val="en-US"/>
        </w:rPr>
      </w:pPr>
      <w:r w:rsidRPr="008A7283">
        <w:rPr>
          <w:rFonts w:ascii="Arial" w:hAnsi="Arial"/>
          <w:lang w:val="en-US"/>
        </w:rPr>
        <w:lastRenderedPageBreak/>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F3AA8" w:rsidRPr="008A7283" w14:paraId="7E3CE626" w14:textId="77777777" w:rsidTr="00884538">
        <w:tc>
          <w:tcPr>
            <w:tcW w:w="3902" w:type="dxa"/>
            <w:shd w:val="clear" w:color="auto" w:fill="auto"/>
            <w:hideMark/>
          </w:tcPr>
          <w:p w14:paraId="03DE56B4" w14:textId="77777777" w:rsidR="00FF3AA8" w:rsidRPr="008A7283" w:rsidRDefault="00FF3AA8" w:rsidP="00884538">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3B0F715" w14:textId="77777777" w:rsidR="00FF3AA8" w:rsidRPr="008A7283" w:rsidRDefault="00FF3AA8" w:rsidP="00884538">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3703A33E" w14:textId="77777777" w:rsidR="00FF3AA8" w:rsidRPr="008A7283" w:rsidRDefault="00FF3AA8" w:rsidP="00884538">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219A475C" w14:textId="77777777" w:rsidR="00FF3AA8" w:rsidRPr="008A7283" w:rsidRDefault="00FF3AA8" w:rsidP="00884538">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36B052FD" w14:textId="77777777" w:rsidR="00FF3AA8" w:rsidRDefault="00FF3AA8" w:rsidP="00884538">
            <w:pPr>
              <w:spacing w:before="120" w:after="120" w:line="276" w:lineRule="auto"/>
              <w:rPr>
                <w:rFonts w:ascii="Arial" w:hAnsi="Arial" w:cs="Arial"/>
                <w:bCs/>
                <w:sz w:val="20"/>
              </w:rPr>
            </w:pPr>
            <w:r>
              <w:rPr>
                <w:rFonts w:ascii="Arial" w:hAnsi="Arial" w:cs="Arial"/>
                <w:bCs/>
                <w:sz w:val="20"/>
              </w:rPr>
              <w:t>www.we-online.com</w:t>
            </w:r>
          </w:p>
          <w:p w14:paraId="256C8117" w14:textId="77777777" w:rsidR="00FF3AA8" w:rsidRPr="00591131" w:rsidRDefault="00FF3AA8" w:rsidP="00884538">
            <w:pPr>
              <w:rPr>
                <w:rFonts w:ascii="Arial" w:hAnsi="Arial" w:cs="Arial"/>
                <w:sz w:val="20"/>
              </w:rPr>
            </w:pPr>
          </w:p>
          <w:p w14:paraId="4EA10647" w14:textId="77777777" w:rsidR="00FF3AA8" w:rsidRPr="00591131" w:rsidRDefault="00FF3AA8" w:rsidP="00884538">
            <w:pPr>
              <w:rPr>
                <w:rFonts w:ascii="Arial" w:hAnsi="Arial" w:cs="Arial"/>
                <w:sz w:val="20"/>
              </w:rPr>
            </w:pPr>
          </w:p>
        </w:tc>
        <w:tc>
          <w:tcPr>
            <w:tcW w:w="3193" w:type="dxa"/>
            <w:shd w:val="clear" w:color="auto" w:fill="auto"/>
            <w:hideMark/>
          </w:tcPr>
          <w:p w14:paraId="127AB11B" w14:textId="77777777" w:rsidR="00FF3AA8" w:rsidRPr="008A7283" w:rsidRDefault="00FF3AA8" w:rsidP="00884538">
            <w:pPr>
              <w:pStyle w:val="Textkrper"/>
              <w:tabs>
                <w:tab w:val="left" w:pos="1065"/>
              </w:tabs>
              <w:autoSpaceDE/>
              <w:adjustRightInd/>
              <w:spacing w:before="120" w:after="120" w:line="276" w:lineRule="auto"/>
              <w:rPr>
                <w:rFonts w:ascii="Arial" w:hAnsi="Arial"/>
              </w:rPr>
            </w:pPr>
          </w:p>
          <w:p w14:paraId="07E90E16" w14:textId="77777777" w:rsidR="00FF3AA8" w:rsidRPr="008A7283" w:rsidRDefault="00FF3AA8" w:rsidP="0088453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2CE1B17" w14:textId="77777777" w:rsidR="00FF3AA8" w:rsidRPr="008A7283" w:rsidRDefault="00FF3AA8" w:rsidP="0088453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07F20492" w14:textId="77777777" w:rsidR="00FF3AA8" w:rsidRPr="008A7283" w:rsidRDefault="00FF3AA8" w:rsidP="00884538">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6AA605E4" w14:textId="77777777" w:rsidR="00FF3AA8" w:rsidRPr="00591131" w:rsidRDefault="00FF3AA8" w:rsidP="0088453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1563658" w14:textId="77777777" w:rsidR="00FF3AA8" w:rsidRPr="00591131" w:rsidRDefault="00FF3AA8" w:rsidP="00FF3AA8">
      <w:pPr>
        <w:pStyle w:val="Textkrper"/>
        <w:spacing w:before="120" w:after="120" w:line="276" w:lineRule="auto"/>
      </w:pPr>
    </w:p>
    <w:p w14:paraId="6DBD1D00" w14:textId="77777777" w:rsidR="00FF3AA8" w:rsidRPr="00FF3AA8" w:rsidRDefault="00FF3AA8">
      <w:pPr>
        <w:pStyle w:val="PITextkrper"/>
        <w:rPr>
          <w:b/>
          <w:bCs/>
          <w:sz w:val="18"/>
          <w:szCs w:val="18"/>
          <w:lang w:val="fr-FR"/>
        </w:rPr>
      </w:pPr>
    </w:p>
    <w:sectPr w:rsidR="00FF3AA8" w:rsidRPr="00FF3AA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AC25" w14:textId="77777777" w:rsidR="00337304" w:rsidRDefault="00BD0DEE">
      <w:r>
        <w:separator/>
      </w:r>
    </w:p>
  </w:endnote>
  <w:endnote w:type="continuationSeparator" w:id="0">
    <w:p w14:paraId="3DA107E7" w14:textId="77777777" w:rsidR="00337304" w:rsidRDefault="00BD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31F" w14:textId="77777777" w:rsidR="00337304" w:rsidRDefault="00BD0DEE">
    <w:pPr>
      <w:pStyle w:val="Fuzeile"/>
      <w:tabs>
        <w:tab w:val="clear" w:pos="4536"/>
        <w:tab w:val="clear" w:pos="9072"/>
        <w:tab w:val="right" w:pos="7088"/>
      </w:tabs>
      <w:rPr>
        <w:rFonts w:ascii="Arial" w:hAnsi="Arial" w:cs="Arial"/>
        <w:noProof/>
        <w:snapToGrid w:val="0"/>
        <w:sz w:val="16"/>
        <w:szCs w:val="16"/>
        <w:lang w:val="it-IT"/>
      </w:rPr>
    </w:pPr>
    <w:r>
      <w:fldChar w:fldCharType="begin"/>
    </w:r>
    <w:r>
      <w:instrText xml:space="preserve"> FILENAME  \* MERGEFORMAT </w:instrText>
    </w:r>
    <w:r>
      <w:fldChar w:fldCharType="separate"/>
    </w:r>
    <w:r>
      <w:rPr>
        <w:rFonts w:ascii="Arial" w:eastAsia="Arial" w:hAnsi="Arial" w:cs="Arial"/>
        <w:noProof/>
        <w:snapToGrid w:val="0"/>
        <w:sz w:val="16"/>
        <w:szCs w:val="16"/>
        <w:lang w:bidi="fr-FR"/>
      </w:rPr>
      <w:t>WTH1PI1088_fr.docx</w:t>
    </w:r>
    <w:r>
      <w:rPr>
        <w:rFonts w:ascii="Arial" w:eastAsia="Arial" w:hAnsi="Arial" w:cs="Arial"/>
        <w:noProof/>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4BEF" w14:textId="77777777" w:rsidR="00337304" w:rsidRDefault="00BD0DEE">
      <w:r>
        <w:separator/>
      </w:r>
    </w:p>
  </w:footnote>
  <w:footnote w:type="continuationSeparator" w:id="0">
    <w:p w14:paraId="29D9E616" w14:textId="77777777" w:rsidR="00337304" w:rsidRDefault="00BD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97F2" w14:textId="77777777" w:rsidR="00337304" w:rsidRDefault="00BD0DE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7CFF49C" wp14:editId="4FE7B1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718541">
    <w:abstractNumId w:val="4"/>
  </w:num>
  <w:num w:numId="2" w16cid:durableId="1256130894">
    <w:abstractNumId w:val="1"/>
  </w:num>
  <w:num w:numId="3" w16cid:durableId="1249928000">
    <w:abstractNumId w:val="2"/>
  </w:num>
  <w:num w:numId="4" w16cid:durableId="1797984778">
    <w:abstractNumId w:val="3"/>
  </w:num>
  <w:num w:numId="5" w16cid:durableId="44200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04"/>
    <w:rsid w:val="00337304"/>
    <w:rsid w:val="00BC36EF"/>
    <w:rsid w:val="00BD0DEE"/>
    <w:rsid w:val="00FF3A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E243439"/>
  <w15:docId w15:val="{EC56D7B6-2259-4467-83D0-D7FB6031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685461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157697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applicationgui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application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6B16-9709-474B-82EF-CE4540A1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4035</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2023-10-04T14:05:00Z</dcterms:created>
  <dcterms:modified xsi:type="dcterms:W3CDTF">2023-10-04T14:07:00Z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