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E8BC" w14:textId="77777777" w:rsidR="00D3625F" w:rsidRDefault="00C65978">
      <w:pPr>
        <w:pStyle w:val="berschrift1"/>
        <w:spacing w:before="720" w:after="720" w:line="260" w:lineRule="exact"/>
        <w:rPr>
          <w:sz w:val="20"/>
          <w:lang w:bidi="it-IT"/>
        </w:rPr>
      </w:pPr>
      <w:r>
        <w:rPr>
          <w:sz w:val="20"/>
          <w:lang w:bidi="it-IT"/>
        </w:rPr>
        <w:t>MEDIENINFORMATION</w:t>
      </w:r>
    </w:p>
    <w:p w14:paraId="51E4497D" w14:textId="4B29EFFC" w:rsidR="00D3625F" w:rsidRDefault="00C65978">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w:t>
      </w:r>
      <w:proofErr w:type="spellStart"/>
      <w:r>
        <w:rPr>
          <w:rFonts w:ascii="Arial" w:hAnsi="Arial" w:cs="Arial"/>
          <w:b/>
          <w:bCs/>
        </w:rPr>
        <w:t>Application</w:t>
      </w:r>
      <w:proofErr w:type="spellEnd"/>
      <w:r>
        <w:rPr>
          <w:rFonts w:ascii="Arial" w:hAnsi="Arial" w:cs="Arial"/>
          <w:b/>
          <w:bCs/>
        </w:rPr>
        <w:t xml:space="preserve"> Guide um branchenspezifische Anwendungen</w:t>
      </w:r>
    </w:p>
    <w:p w14:paraId="3DE42E68" w14:textId="50F61CC5" w:rsidR="00D3625F" w:rsidRDefault="00C65978">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Mit dem </w:t>
      </w:r>
      <w:r w:rsidRPr="00C65978">
        <w:rPr>
          <w:rFonts w:ascii="Arial" w:hAnsi="Arial" w:cs="Arial"/>
          <w:b/>
          <w:bCs/>
          <w:color w:val="000000"/>
          <w:sz w:val="36"/>
        </w:rPr>
        <w:t>Applikations</w:t>
      </w:r>
      <w:r w:rsidR="00BD153F">
        <w:rPr>
          <w:rFonts w:ascii="Arial" w:hAnsi="Arial" w:cs="Arial"/>
          <w:b/>
          <w:bCs/>
          <w:color w:val="000000"/>
          <w:sz w:val="36"/>
        </w:rPr>
        <w:t>-</w:t>
      </w:r>
      <w:r w:rsidRPr="00C65978">
        <w:rPr>
          <w:rFonts w:ascii="Arial" w:hAnsi="Arial" w:cs="Arial"/>
          <w:b/>
          <w:bCs/>
          <w:color w:val="000000"/>
          <w:sz w:val="36"/>
        </w:rPr>
        <w:t xml:space="preserve"> &amp; Branchen</w:t>
      </w:r>
      <w:r w:rsidR="00BD153F">
        <w:rPr>
          <w:rFonts w:ascii="Arial" w:hAnsi="Arial" w:cs="Arial"/>
          <w:b/>
          <w:bCs/>
          <w:color w:val="000000"/>
          <w:sz w:val="36"/>
        </w:rPr>
        <w:t>-</w:t>
      </w:r>
      <w:r w:rsidRPr="00C65978">
        <w:rPr>
          <w:rFonts w:ascii="Arial" w:hAnsi="Arial" w:cs="Arial"/>
          <w:b/>
          <w:bCs/>
          <w:color w:val="000000"/>
          <w:sz w:val="36"/>
        </w:rPr>
        <w:t>Guide</w:t>
      </w:r>
      <w:r>
        <w:rPr>
          <w:rFonts w:ascii="Arial" w:hAnsi="Arial" w:cs="Arial"/>
          <w:b/>
          <w:bCs/>
          <w:color w:val="000000"/>
          <w:sz w:val="36"/>
        </w:rPr>
        <w:t xml:space="preserve"> zu passenden Schaltungen und Bauteilen</w:t>
      </w:r>
    </w:p>
    <w:p w14:paraId="75D51821" w14:textId="3A0935AC" w:rsidR="00D3625F" w:rsidRDefault="00C65978">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w:t>
      </w:r>
      <w:r w:rsidR="00203C4A">
        <w:rPr>
          <w:rFonts w:ascii="Arial" w:hAnsi="Arial"/>
          <w:color w:val="000000"/>
        </w:rPr>
        <w:t>26. September</w:t>
      </w:r>
      <w:r>
        <w:rPr>
          <w:rFonts w:ascii="Arial" w:hAnsi="Arial"/>
          <w:color w:val="000000"/>
        </w:rPr>
        <w:t xml:space="preserve"> 2023 – Der </w:t>
      </w:r>
      <w:proofErr w:type="spellStart"/>
      <w:r>
        <w:rPr>
          <w:rFonts w:ascii="Arial" w:hAnsi="Arial"/>
        </w:rPr>
        <w:t>Application</w:t>
      </w:r>
      <w:proofErr w:type="spellEnd"/>
      <w:r>
        <w:rPr>
          <w:rFonts w:ascii="Arial" w:hAnsi="Arial"/>
        </w:rPr>
        <w:t xml:space="preserve"> Guide im Onlinekatalog von Würth Elektronik wurde zum </w:t>
      </w:r>
      <w:hyperlink r:id="rId8" w:history="1">
        <w:r>
          <w:rPr>
            <w:rStyle w:val="Hyperlink"/>
            <w:rFonts w:ascii="Arial" w:hAnsi="Arial"/>
          </w:rPr>
          <w:t>Applikations</w:t>
        </w:r>
        <w:r w:rsidR="00BD153F">
          <w:rPr>
            <w:rStyle w:val="Hyperlink"/>
            <w:rFonts w:ascii="Arial" w:hAnsi="Arial"/>
          </w:rPr>
          <w:t>-</w:t>
        </w:r>
        <w:r>
          <w:rPr>
            <w:rStyle w:val="Hyperlink"/>
            <w:rFonts w:ascii="Arial" w:hAnsi="Arial"/>
          </w:rPr>
          <w:t xml:space="preserve"> &amp; Branchen</w:t>
        </w:r>
        <w:r w:rsidR="00BD153F">
          <w:rPr>
            <w:rStyle w:val="Hyperlink"/>
            <w:rFonts w:ascii="Arial" w:hAnsi="Arial"/>
          </w:rPr>
          <w:t>-</w:t>
        </w:r>
        <w:r>
          <w:rPr>
            <w:rStyle w:val="Hyperlink"/>
            <w:rFonts w:ascii="Arial" w:hAnsi="Arial"/>
          </w:rPr>
          <w:t>Guide</w:t>
        </w:r>
      </w:hyperlink>
      <w:r>
        <w:rPr>
          <w:rStyle w:val="Hyperlink"/>
          <w:rFonts w:ascii="Arial" w:hAnsi="Arial"/>
        </w:rPr>
        <w:t xml:space="preserve"> erweitert</w:t>
      </w:r>
      <w:r>
        <w:rPr>
          <w:rFonts w:ascii="Arial" w:hAnsi="Arial"/>
        </w:rPr>
        <w:t>: Verfügbar sind jetzt die Branchen Haushaltsgeräte, Elektrowerkzeuge und E-Mobilität. Weitere werden folgen. Damit führt der Hersteller elektronischer und elektromechanischer Bauelemente sein Konzept fort, Entwicklern anhand typischer Applikationen die Umsetzung ihrer Designs und die Auswahl passender Bauteile zu erleichtern. Die Webanwendung präsentiert für jedes Gerät ein speziell entwickeltes Blockdiagramm, in dem neben dem Blockschaltbild, auch die dazu geeigneten Produkte aus dem Portfolio der Würth Elektronik zu entnehmen sind.</w:t>
      </w:r>
    </w:p>
    <w:p w14:paraId="0B0BADB7" w14:textId="6842AF93" w:rsidR="00D3625F" w:rsidRDefault="00C65978">
      <w:pPr>
        <w:pStyle w:val="Textkrper"/>
        <w:spacing w:before="120" w:after="120" w:line="260" w:lineRule="exact"/>
        <w:jc w:val="both"/>
        <w:rPr>
          <w:rFonts w:ascii="Arial" w:hAnsi="Arial"/>
          <w:b w:val="0"/>
          <w:bCs w:val="0"/>
        </w:rPr>
      </w:pPr>
      <w:r>
        <w:rPr>
          <w:rFonts w:ascii="Arial" w:hAnsi="Arial"/>
          <w:b w:val="0"/>
          <w:bCs w:val="0"/>
        </w:rPr>
        <w:t>Das neue Angebot startet für die Branche „Haushaltsgeräte“ mit den vier Geräten Waschmaschinen, Kaffeemaschinen, Kühlschränke und Kochfelder. Für das Segment „E-Mobilität“ sind es leichte Elektrofahrzeuge, Ladestationen und Bordladegeräte. Der Bereich „Elektrowerkzeuge“ unterteilt sich in die Kapitel „</w:t>
      </w:r>
      <w:proofErr w:type="spellStart"/>
      <w:r>
        <w:rPr>
          <w:rFonts w:ascii="Arial" w:hAnsi="Arial"/>
          <w:b w:val="0"/>
          <w:bCs w:val="0"/>
        </w:rPr>
        <w:t>Battery</w:t>
      </w:r>
      <w:proofErr w:type="spellEnd"/>
      <w:r>
        <w:rPr>
          <w:rFonts w:ascii="Arial" w:hAnsi="Arial"/>
          <w:b w:val="0"/>
          <w:bCs w:val="0"/>
        </w:rPr>
        <w:t xml:space="preserve"> Charger“, „</w:t>
      </w:r>
      <w:proofErr w:type="spellStart"/>
      <w:r>
        <w:rPr>
          <w:rFonts w:ascii="Arial" w:hAnsi="Arial"/>
          <w:b w:val="0"/>
          <w:bCs w:val="0"/>
        </w:rPr>
        <w:t>Battery</w:t>
      </w:r>
      <w:proofErr w:type="spellEnd"/>
      <w:r>
        <w:rPr>
          <w:rFonts w:ascii="Arial" w:hAnsi="Arial"/>
          <w:b w:val="0"/>
          <w:bCs w:val="0"/>
        </w:rPr>
        <w:t xml:space="preserve"> Pack“, „DC Power Tool“, „AC Power Tool &lt; 1 kW“ und „AC Power Tool &gt; 1 kW“.</w:t>
      </w:r>
    </w:p>
    <w:p w14:paraId="5A14058B" w14:textId="095CE576" w:rsidR="00D3625F" w:rsidRDefault="00C65978">
      <w:pPr>
        <w:pStyle w:val="Textkrper"/>
        <w:spacing w:before="120" w:after="120" w:line="260" w:lineRule="exact"/>
        <w:jc w:val="both"/>
        <w:rPr>
          <w:rFonts w:ascii="Arial" w:hAnsi="Arial"/>
          <w:b w:val="0"/>
          <w:bCs w:val="0"/>
        </w:rPr>
      </w:pPr>
      <w:r>
        <w:rPr>
          <w:rFonts w:ascii="Arial" w:hAnsi="Arial"/>
          <w:b w:val="0"/>
          <w:bCs w:val="0"/>
        </w:rPr>
        <w:t xml:space="preserve">Der Branchen-Guide soll </w:t>
      </w:r>
      <w:r w:rsidR="008D6791">
        <w:rPr>
          <w:rFonts w:ascii="Arial" w:hAnsi="Arial"/>
          <w:b w:val="0"/>
          <w:bCs w:val="0"/>
        </w:rPr>
        <w:t xml:space="preserve">Entwicklerinnen und </w:t>
      </w:r>
      <w:r>
        <w:rPr>
          <w:rFonts w:ascii="Arial" w:hAnsi="Arial"/>
          <w:b w:val="0"/>
          <w:bCs w:val="0"/>
        </w:rPr>
        <w:t>Entwickler</w:t>
      </w:r>
      <w:r w:rsidR="00A00C67">
        <w:rPr>
          <w:rFonts w:ascii="Arial" w:hAnsi="Arial"/>
          <w:b w:val="0"/>
          <w:bCs w:val="0"/>
        </w:rPr>
        <w:t>n</w:t>
      </w:r>
      <w:r>
        <w:rPr>
          <w:rFonts w:ascii="Arial" w:hAnsi="Arial"/>
          <w:b w:val="0"/>
          <w:bCs w:val="0"/>
        </w:rPr>
        <w:t xml:space="preserve"> die Auswahl passender Bauteile erleichtern. Die Idee dahinter: Niemand muss Buck-Converter, DC-Eingangsfilter oder Ladestation neu erfinden. Zusammen mit Design-Tools wie REDEXPERT, IC-Referenzdesigns und zahlreichen </w:t>
      </w:r>
      <w:proofErr w:type="spellStart"/>
      <w:r>
        <w:rPr>
          <w:rFonts w:ascii="Arial" w:hAnsi="Arial"/>
          <w:b w:val="0"/>
          <w:bCs w:val="0"/>
        </w:rPr>
        <w:t>Application</w:t>
      </w:r>
      <w:proofErr w:type="spellEnd"/>
      <w:r>
        <w:rPr>
          <w:rFonts w:ascii="Arial" w:hAnsi="Arial"/>
          <w:b w:val="0"/>
          <w:bCs w:val="0"/>
        </w:rPr>
        <w:t xml:space="preserve"> Notes ergänzt der Applikations- und Branchen-Guide das Serviceangebot von Würth Elektronik. Begonnen hatte das Angebot mit dem </w:t>
      </w:r>
      <w:proofErr w:type="spellStart"/>
      <w:r>
        <w:rPr>
          <w:rFonts w:ascii="Arial" w:hAnsi="Arial"/>
          <w:b w:val="0"/>
          <w:bCs w:val="0"/>
        </w:rPr>
        <w:t>Application</w:t>
      </w:r>
      <w:proofErr w:type="spellEnd"/>
      <w:r>
        <w:rPr>
          <w:rFonts w:ascii="Arial" w:hAnsi="Arial"/>
          <w:b w:val="0"/>
          <w:bCs w:val="0"/>
        </w:rPr>
        <w:t xml:space="preserve"> Guide, der applikationsbezogen Informationsmöglichkeiten mit detaillierten Beschreibungen, Schaltplänen und Produktempfehlungen zu den wichtigsten Schnittstellen und Schaltreglern zur Verfügung stellt.</w:t>
      </w:r>
    </w:p>
    <w:p w14:paraId="4D258AF3" w14:textId="1EF38BCF" w:rsidR="00D3625F" w:rsidRDefault="00C65978">
      <w:pPr>
        <w:pStyle w:val="Textkrper"/>
        <w:spacing w:before="120" w:after="120" w:line="260" w:lineRule="exact"/>
        <w:jc w:val="both"/>
        <w:rPr>
          <w:rFonts w:ascii="Arial" w:hAnsi="Arial"/>
          <w:b w:val="0"/>
          <w:bCs w:val="0"/>
        </w:rPr>
      </w:pPr>
      <w:r>
        <w:rPr>
          <w:rFonts w:ascii="Arial" w:hAnsi="Arial"/>
          <w:b w:val="0"/>
          <w:bCs w:val="0"/>
        </w:rPr>
        <w:t xml:space="preserve">Der Applikations- und Branchen-Guide ist unter </w:t>
      </w:r>
      <w:hyperlink r:id="rId9" w:history="1">
        <w:r>
          <w:rPr>
            <w:rStyle w:val="Hyperlink"/>
            <w:rFonts w:ascii="Arial" w:hAnsi="Arial"/>
            <w:b w:val="0"/>
            <w:bCs w:val="0"/>
          </w:rPr>
          <w:t>https://www.we-online.com/de/components/applicationguide</w:t>
        </w:r>
      </w:hyperlink>
      <w:r>
        <w:rPr>
          <w:rFonts w:ascii="Arial" w:hAnsi="Arial"/>
          <w:b w:val="0"/>
          <w:bCs w:val="0"/>
        </w:rPr>
        <w:t xml:space="preserve"> zu erreichen.</w:t>
      </w:r>
    </w:p>
    <w:p w14:paraId="345063DF" w14:textId="77777777" w:rsidR="00D3625F" w:rsidRDefault="00D3625F">
      <w:pPr>
        <w:pStyle w:val="Textkrper"/>
        <w:spacing w:before="120" w:after="120" w:line="260" w:lineRule="exact"/>
        <w:jc w:val="both"/>
        <w:rPr>
          <w:rFonts w:ascii="Arial" w:hAnsi="Arial"/>
          <w:color w:val="000000"/>
        </w:rPr>
      </w:pPr>
    </w:p>
    <w:p w14:paraId="0B142274" w14:textId="77777777" w:rsidR="00D3625F" w:rsidRDefault="00C65978">
      <w:pPr>
        <w:pStyle w:val="Textkrper"/>
        <w:spacing w:before="120" w:after="120" w:line="260" w:lineRule="exact"/>
        <w:jc w:val="both"/>
        <w:rPr>
          <w:rFonts w:ascii="Arial" w:hAnsi="Arial"/>
          <w:b w:val="0"/>
          <w:bCs w:val="0"/>
        </w:rPr>
      </w:pPr>
      <w:r>
        <w:rPr>
          <w:rFonts w:ascii="Arial" w:hAnsi="Arial"/>
          <w:b w:val="0"/>
          <w:bCs w:val="0"/>
        </w:rPr>
        <w:br w:type="page"/>
      </w:r>
    </w:p>
    <w:p w14:paraId="57EDE1E7" w14:textId="77777777" w:rsidR="004F2DF0" w:rsidRDefault="004F2DF0">
      <w:pPr>
        <w:pStyle w:val="Textkrper"/>
        <w:spacing w:before="120" w:after="120" w:line="260" w:lineRule="exact"/>
        <w:jc w:val="both"/>
        <w:rPr>
          <w:rFonts w:ascii="Arial" w:hAnsi="Arial"/>
          <w:b w:val="0"/>
          <w:bCs w:val="0"/>
        </w:rPr>
      </w:pPr>
    </w:p>
    <w:p w14:paraId="1E7A77B6" w14:textId="77777777" w:rsidR="00D3625F" w:rsidRDefault="00D3625F">
      <w:pPr>
        <w:pStyle w:val="PITextkrper"/>
        <w:pBdr>
          <w:top w:val="single" w:sz="4" w:space="1" w:color="auto"/>
        </w:pBdr>
        <w:spacing w:before="240"/>
        <w:rPr>
          <w:b/>
          <w:sz w:val="18"/>
          <w:szCs w:val="18"/>
          <w:lang w:val="de-DE"/>
        </w:rPr>
      </w:pPr>
    </w:p>
    <w:p w14:paraId="5B4F441A" w14:textId="77777777" w:rsidR="00D3625F" w:rsidRDefault="00C65978">
      <w:pPr>
        <w:spacing w:after="120" w:line="280" w:lineRule="exact"/>
        <w:rPr>
          <w:rFonts w:ascii="Arial" w:hAnsi="Arial" w:cs="Arial"/>
          <w:b/>
          <w:bCs/>
          <w:sz w:val="18"/>
          <w:szCs w:val="18"/>
        </w:rPr>
      </w:pPr>
      <w:r>
        <w:rPr>
          <w:rFonts w:ascii="Arial" w:hAnsi="Arial" w:cs="Arial"/>
          <w:b/>
          <w:bCs/>
          <w:sz w:val="18"/>
          <w:szCs w:val="18"/>
        </w:rPr>
        <w:t>Verfügbares Bildmaterial</w:t>
      </w:r>
    </w:p>
    <w:p w14:paraId="0AF48220" w14:textId="77777777" w:rsidR="00D3625F" w:rsidRDefault="00C65978">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3625F" w14:paraId="724F5F5B" w14:textId="77777777">
        <w:trPr>
          <w:trHeight w:val="1701"/>
        </w:trPr>
        <w:tc>
          <w:tcPr>
            <w:tcW w:w="3510" w:type="dxa"/>
          </w:tcPr>
          <w:p w14:paraId="6130AF95" w14:textId="77777777" w:rsidR="00D3625F" w:rsidRDefault="00C65978">
            <w:pPr>
              <w:pStyle w:val="txt"/>
              <w:rPr>
                <w:b/>
                <w:bCs/>
                <w:sz w:val="18"/>
              </w:rPr>
            </w:pPr>
            <w:r>
              <w:rPr>
                <w:b/>
              </w:rPr>
              <w:br/>
            </w:r>
            <w:r>
              <w:rPr>
                <w:noProof/>
              </w:rPr>
              <w:drawing>
                <wp:inline distT="0" distB="0" distL="0" distR="0" wp14:anchorId="580189D4" wp14:editId="4E116D5F">
                  <wp:extent cx="2139950" cy="1196340"/>
                  <wp:effectExtent l="0" t="0" r="0" b="3810"/>
                  <wp:docPr id="21055970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39950" cy="1196340"/>
                          </a:xfrm>
                          <a:prstGeom prst="rect">
                            <a:avLst/>
                          </a:prstGeom>
                          <a:noFill/>
                          <a:ln>
                            <a:noFill/>
                          </a:ln>
                        </pic:spPr>
                      </pic:pic>
                    </a:graphicData>
                  </a:graphic>
                </wp:inline>
              </w:drawing>
            </w:r>
          </w:p>
          <w:p w14:paraId="23CCDC8B" w14:textId="77777777" w:rsidR="00D3625F" w:rsidRDefault="00C65978">
            <w:pPr>
              <w:pStyle w:val="txt"/>
              <w:rPr>
                <w:b/>
                <w:bCs/>
                <w:sz w:val="18"/>
              </w:rPr>
            </w:pPr>
            <w:r>
              <w:rPr>
                <w:bCs/>
                <w:sz w:val="16"/>
                <w:szCs w:val="16"/>
              </w:rPr>
              <w:t xml:space="preserve">Bildquelle: Würth Elektronik </w:t>
            </w:r>
          </w:p>
          <w:p w14:paraId="05358C2D" w14:textId="34A383FA" w:rsidR="00D3625F" w:rsidRDefault="00C65978">
            <w:pPr>
              <w:autoSpaceDE w:val="0"/>
              <w:autoSpaceDN w:val="0"/>
              <w:adjustRightInd w:val="0"/>
              <w:rPr>
                <w:rFonts w:ascii="Arial" w:hAnsi="Arial" w:cs="Arial"/>
                <w:b/>
                <w:bCs/>
                <w:sz w:val="18"/>
                <w:szCs w:val="18"/>
              </w:rPr>
            </w:pPr>
            <w:r>
              <w:rPr>
                <w:rFonts w:ascii="Arial" w:hAnsi="Arial" w:cs="Arial"/>
                <w:b/>
                <w:sz w:val="18"/>
                <w:szCs w:val="18"/>
              </w:rPr>
              <w:t>Der Applikations- und Branchen-Guide von Würth Elektronik erleichtert Design und Bauteilauswahl.</w:t>
            </w:r>
            <w:r>
              <w:rPr>
                <w:rFonts w:ascii="Arial" w:hAnsi="Arial" w:cs="Arial"/>
                <w:b/>
                <w:sz w:val="18"/>
                <w:szCs w:val="18"/>
              </w:rPr>
              <w:br/>
            </w:r>
          </w:p>
        </w:tc>
      </w:tr>
    </w:tbl>
    <w:p w14:paraId="6A0A0B0F" w14:textId="77777777" w:rsidR="00D3625F" w:rsidRDefault="00D3625F">
      <w:pPr>
        <w:pStyle w:val="PITextkrper"/>
        <w:rPr>
          <w:b/>
          <w:bCs/>
          <w:sz w:val="18"/>
          <w:szCs w:val="18"/>
          <w:lang w:val="de-DE"/>
        </w:rPr>
      </w:pPr>
    </w:p>
    <w:p w14:paraId="590C8247" w14:textId="77777777" w:rsidR="004F2DF0" w:rsidRPr="00080F03" w:rsidRDefault="004F2DF0" w:rsidP="004F2DF0">
      <w:pPr>
        <w:pStyle w:val="Textkrper"/>
        <w:spacing w:before="120" w:after="120" w:line="260" w:lineRule="exact"/>
        <w:jc w:val="both"/>
        <w:rPr>
          <w:rFonts w:ascii="Arial" w:hAnsi="Arial"/>
          <w:b w:val="0"/>
          <w:bCs w:val="0"/>
        </w:rPr>
      </w:pPr>
    </w:p>
    <w:p w14:paraId="4FEEBE26" w14:textId="77777777" w:rsidR="004F2DF0" w:rsidRPr="00080F03" w:rsidRDefault="004F2DF0" w:rsidP="004F2DF0">
      <w:pPr>
        <w:pStyle w:val="PITextkrper"/>
        <w:pBdr>
          <w:top w:val="single" w:sz="4" w:space="1" w:color="auto"/>
        </w:pBdr>
        <w:spacing w:before="240"/>
        <w:rPr>
          <w:b/>
          <w:sz w:val="18"/>
          <w:szCs w:val="18"/>
          <w:lang w:val="de-DE"/>
        </w:rPr>
      </w:pPr>
    </w:p>
    <w:p w14:paraId="1501A846" w14:textId="77777777" w:rsidR="004F2DF0" w:rsidRPr="00080F03" w:rsidRDefault="004F2DF0" w:rsidP="004F2DF0">
      <w:pPr>
        <w:pStyle w:val="Textkrper"/>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7BA1518E" w14:textId="77777777" w:rsidR="004F2DF0" w:rsidRPr="00080F03" w:rsidRDefault="004F2DF0" w:rsidP="004F2DF0">
      <w:pPr>
        <w:pStyle w:val="Textkrper"/>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76C2A367" w14:textId="77777777" w:rsidR="004F2DF0" w:rsidRPr="00080F03" w:rsidRDefault="004F2DF0" w:rsidP="004F2DF0">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24039923" w14:textId="77777777" w:rsidR="004F2DF0" w:rsidRPr="00080F03" w:rsidRDefault="004F2DF0" w:rsidP="004F2DF0">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9168ACA" w14:textId="77777777" w:rsidR="004F2DF0" w:rsidRDefault="004F2DF0" w:rsidP="004F2DF0">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619F35EA" w14:textId="77777777" w:rsidR="004F2DF0" w:rsidRPr="008E6771" w:rsidRDefault="004F2DF0" w:rsidP="004F2DF0">
      <w:pPr>
        <w:pStyle w:val="Textkrper"/>
        <w:spacing w:before="120" w:after="120" w:line="276" w:lineRule="auto"/>
        <w:jc w:val="both"/>
        <w:rPr>
          <w:rFonts w:ascii="Arial" w:hAnsi="Arial"/>
          <w:b w:val="0"/>
        </w:rPr>
      </w:pPr>
    </w:p>
    <w:p w14:paraId="30D72E44" w14:textId="77777777" w:rsidR="004F2DF0" w:rsidRPr="00080F03" w:rsidRDefault="004F2DF0" w:rsidP="004F2DF0">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4A16BA19" w14:textId="77777777" w:rsidR="004F2DF0" w:rsidRPr="00080F03" w:rsidRDefault="004F2DF0" w:rsidP="004F2DF0">
      <w:pPr>
        <w:pStyle w:val="Textkrper"/>
        <w:spacing w:before="120" w:after="120" w:line="276" w:lineRule="auto"/>
        <w:rPr>
          <w:rFonts w:ascii="Arial" w:hAnsi="Arial"/>
        </w:rPr>
      </w:pPr>
      <w:r w:rsidRPr="00080F03">
        <w:rPr>
          <w:rFonts w:ascii="Arial" w:hAnsi="Arial"/>
        </w:rPr>
        <w:t>Weitere Informationen unter www.we-online.com</w:t>
      </w:r>
    </w:p>
    <w:p w14:paraId="64EE314A" w14:textId="77777777" w:rsidR="004F2DF0" w:rsidRPr="00080F03" w:rsidRDefault="004F2DF0" w:rsidP="004F2DF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F2DF0" w:rsidRPr="00080F03" w14:paraId="45199797" w14:textId="77777777" w:rsidTr="005C68F1">
        <w:tc>
          <w:tcPr>
            <w:tcW w:w="3902" w:type="dxa"/>
            <w:hideMark/>
          </w:tcPr>
          <w:p w14:paraId="20E5C66A" w14:textId="77777777" w:rsidR="004F2DF0" w:rsidRPr="00080F03" w:rsidRDefault="004F2DF0" w:rsidP="005C68F1">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29F9A4E1" w14:textId="77777777" w:rsidR="004F2DF0" w:rsidRPr="00080F03" w:rsidRDefault="004F2DF0" w:rsidP="005C68F1">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69371371" w14:textId="77777777" w:rsidR="004F2DF0" w:rsidRPr="00080F03" w:rsidRDefault="004F2DF0" w:rsidP="005C68F1">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00F1CFBD" w14:textId="77777777" w:rsidR="004F2DF0" w:rsidRPr="00080F03" w:rsidRDefault="004F2DF0" w:rsidP="005C68F1">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57BB3889" w14:textId="77777777" w:rsidR="004F2DF0" w:rsidRPr="00080F03" w:rsidRDefault="004F2DF0" w:rsidP="005C68F1">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4474C66C" w14:textId="77777777" w:rsidR="004F2DF0" w:rsidRPr="00080F03" w:rsidRDefault="004F2DF0" w:rsidP="005C68F1">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4EECFCB1" w14:textId="77777777" w:rsidR="004F2DF0" w:rsidRPr="00080F03" w:rsidRDefault="004F2DF0" w:rsidP="005C68F1">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74A6FBDF" w14:textId="77777777" w:rsidR="004F2DF0" w:rsidRPr="00080F03" w:rsidRDefault="004F2DF0" w:rsidP="005C68F1">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01D9662F" w14:textId="77777777" w:rsidR="004F2DF0" w:rsidRPr="00080F03" w:rsidRDefault="004F2DF0" w:rsidP="004F2DF0">
      <w:pPr>
        <w:pStyle w:val="Textkrper"/>
        <w:spacing w:before="120" w:after="120" w:line="260" w:lineRule="exact"/>
      </w:pPr>
    </w:p>
    <w:p w14:paraId="3120F270" w14:textId="77777777" w:rsidR="00D3625F" w:rsidRDefault="00D3625F" w:rsidP="004F2DF0">
      <w:pPr>
        <w:pStyle w:val="Textkrper"/>
        <w:spacing w:before="120" w:after="120" w:line="260" w:lineRule="exact"/>
        <w:jc w:val="both"/>
        <w:rPr>
          <w:rFonts w:ascii="Calibri" w:hAnsi="Calibri" w:cs="Calibri"/>
          <w:sz w:val="22"/>
          <w:szCs w:val="22"/>
        </w:rPr>
      </w:pPr>
    </w:p>
    <w:sectPr w:rsidR="00D3625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25AB" w14:textId="77777777" w:rsidR="00D3625F" w:rsidRDefault="00C65978">
      <w:r>
        <w:separator/>
      </w:r>
    </w:p>
  </w:endnote>
  <w:endnote w:type="continuationSeparator" w:id="0">
    <w:p w14:paraId="709ECD29" w14:textId="77777777" w:rsidR="00D3625F" w:rsidRDefault="00C6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A21A" w14:textId="4DA088D5" w:rsidR="00D3625F" w:rsidRDefault="00C65978">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F1189B">
      <w:rPr>
        <w:rFonts w:ascii="Arial" w:hAnsi="Arial" w:cs="Arial"/>
        <w:noProof/>
        <w:snapToGrid w:val="0"/>
        <w:sz w:val="16"/>
        <w:szCs w:val="16"/>
        <w:lang w:val="it-IT"/>
      </w:rPr>
      <w:t>WTH1PI1088.docx</w:t>
    </w:r>
    <w:r>
      <w:rPr>
        <w:rFonts w:ascii="Arial" w:hAnsi="Arial" w:cs="Arial"/>
        <w:snapToGrid w:val="0"/>
        <w:sz w:val="16"/>
        <w:szCs w:val="16"/>
      </w:rPr>
      <w:fldChar w:fldCharType="end"/>
    </w:r>
    <w:r>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2DD6" w14:textId="77777777" w:rsidR="00D3625F" w:rsidRDefault="00C65978">
      <w:r>
        <w:separator/>
      </w:r>
    </w:p>
  </w:footnote>
  <w:footnote w:type="continuationSeparator" w:id="0">
    <w:p w14:paraId="68FB9966" w14:textId="77777777" w:rsidR="00D3625F" w:rsidRDefault="00C65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84AA" w14:textId="77777777" w:rsidR="00D3625F" w:rsidRDefault="00C65978">
    <w:pPr>
      <w:pStyle w:val="Kopfzeile"/>
      <w:tabs>
        <w:tab w:val="clear" w:pos="9072"/>
        <w:tab w:val="right" w:pos="9498"/>
      </w:tabs>
    </w:pPr>
    <w:r>
      <w:rPr>
        <w:noProof/>
      </w:rPr>
      <w:drawing>
        <wp:anchor distT="0" distB="0" distL="114300" distR="114300" simplePos="0" relativeHeight="251657728" behindDoc="1" locked="0" layoutInCell="0" allowOverlap="1" wp14:anchorId="215651EF" wp14:editId="0791F0A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756428">
    <w:abstractNumId w:val="4"/>
  </w:num>
  <w:num w:numId="2" w16cid:durableId="1477331354">
    <w:abstractNumId w:val="1"/>
  </w:num>
  <w:num w:numId="3" w16cid:durableId="1678649115">
    <w:abstractNumId w:val="2"/>
  </w:num>
  <w:num w:numId="4" w16cid:durableId="1461218785">
    <w:abstractNumId w:val="3"/>
  </w:num>
  <w:num w:numId="5" w16cid:durableId="73115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5F"/>
    <w:rsid w:val="00203C4A"/>
    <w:rsid w:val="003C44DD"/>
    <w:rsid w:val="004F2DF0"/>
    <w:rsid w:val="008D6791"/>
    <w:rsid w:val="00A00C67"/>
    <w:rsid w:val="00AE2BC0"/>
    <w:rsid w:val="00BB4AF0"/>
    <w:rsid w:val="00BD153F"/>
    <w:rsid w:val="00C65978"/>
    <w:rsid w:val="00D3625F"/>
    <w:rsid w:val="00F118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8A225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685461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157697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applicationgui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applicationgui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7BFE-F36B-4A0E-9D8E-A41E7889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2023-09-25T12:07:00Z</dcterms:created>
  <dcterms:modified xsi:type="dcterms:W3CDTF">2023-09-26T11:33:00Z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