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A2D83" w14:textId="77777777" w:rsidR="00C22764" w:rsidRDefault="009F5897">
      <w:pPr>
        <w:pStyle w:val="berschrift1"/>
        <w:spacing w:before="720" w:after="720" w:line="260" w:lineRule="exact"/>
        <w:rPr>
          <w:sz w:val="20"/>
        </w:rPr>
      </w:pPr>
      <w:r>
        <w:rPr>
          <w:sz w:val="20"/>
        </w:rPr>
        <w:t>COMUNICADO DE PRENSA</w:t>
      </w:r>
    </w:p>
    <w:p w14:paraId="6320F1E0" w14:textId="77777777" w:rsidR="00C22764" w:rsidRDefault="009F5897">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publica una Nota de Aplicación sobre la supresión de interferencias en la interfaz</w:t>
      </w:r>
    </w:p>
    <w:p w14:paraId="01EBFED0" w14:textId="696C6513" w:rsidR="00C22764" w:rsidRDefault="009F5897">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Filtro y protección contra sobretensiones para el bus I</w:t>
      </w:r>
      <w:r>
        <w:rPr>
          <w:rFonts w:ascii="Arial" w:hAnsi="Arial"/>
          <w:b/>
          <w:color w:val="000000"/>
          <w:sz w:val="36"/>
          <w:vertAlign w:val="superscript"/>
        </w:rPr>
        <w:t>2</w:t>
      </w:r>
      <w:r>
        <w:rPr>
          <w:rFonts w:ascii="Arial" w:hAnsi="Arial"/>
          <w:b/>
          <w:color w:val="000000"/>
          <w:sz w:val="36"/>
        </w:rPr>
        <w:t>C</w:t>
      </w:r>
    </w:p>
    <w:p w14:paraId="559B1C45" w14:textId="172BB5FF" w:rsidR="00C22764" w:rsidRDefault="009F5897">
      <w:pPr>
        <w:pStyle w:val="Textkrper"/>
        <w:spacing w:before="120" w:after="120" w:line="260" w:lineRule="exact"/>
        <w:jc w:val="both"/>
        <w:rPr>
          <w:rFonts w:ascii="Arial" w:hAnsi="Arial"/>
          <w:color w:val="000000"/>
        </w:rPr>
      </w:pPr>
      <w:r>
        <w:rPr>
          <w:rFonts w:ascii="Arial" w:hAnsi="Arial"/>
          <w:color w:val="000000"/>
        </w:rPr>
        <w:t xml:space="preserve">Waldenburg (Alemania), </w:t>
      </w:r>
      <w:r w:rsidR="00F74802" w:rsidRPr="00F74802">
        <w:rPr>
          <w:rFonts w:ascii="Arial" w:hAnsi="Arial"/>
          <w:color w:val="000000"/>
        </w:rPr>
        <w:t>3 de agosto de 2023</w:t>
      </w:r>
      <w:r>
        <w:rPr>
          <w:rFonts w:ascii="Arial" w:hAnsi="Arial"/>
          <w:color w:val="000000"/>
        </w:rPr>
        <w:t xml:space="preserve"> – Würth Elektronik ha publicado una nueva Nota de Aplicación: </w:t>
      </w:r>
      <w:r>
        <w:fldChar w:fldCharType="begin"/>
      </w:r>
      <w:r>
        <w:instrText xml:space="preserve"> HYPERLINK "https://www.we-online.com/en/support/knowledge/application-notes?d=anp121-filter-and-surge-protection" </w:instrText>
      </w:r>
      <w:r>
        <w:fldChar w:fldCharType="separate"/>
      </w:r>
      <w:r>
        <w:rPr>
          <w:rStyle w:val="Hyperlink"/>
          <w:rFonts w:ascii="Arial" w:hAnsi="Arial"/>
        </w:rPr>
        <w:t>«ANP121 – Filter and surge protection for I2C-Bus»</w:t>
      </w:r>
      <w:r>
        <w:rPr>
          <w:rStyle w:val="Hyperlink"/>
          <w:rFonts w:ascii="Arial" w:hAnsi="Arial"/>
        </w:rPr>
        <w:fldChar w:fldCharType="end"/>
      </w:r>
      <w:r>
        <w:rPr>
          <w:rFonts w:ascii="Arial" w:hAnsi="Arial"/>
          <w:color w:val="000000"/>
        </w:rPr>
        <w:t>. En dicha Nota de Aplicación, el fabricante de componentes electrónicos y electromecánicos ofrece una valiosa ayuda a los diseñadores que utilizan el bus I²C (Inter-Integrated Circuit Bus) en placas de circuito impreso. La ampliación de la interfaz con conectores o cables puede hacer que el bus I²C sea potencialmente susceptible a interferencias externas como ESD, Burst y emisiones radiadas. El objetivo de la Nota de Aplicación es mostrar un filtro y un circuito de protección adecuados que permitan aumentar la inmunidad a las interferencias del bus I²C sin comprometer la calidad de la señal de los datos y de reloj.</w:t>
      </w:r>
    </w:p>
    <w:p w14:paraId="3A987170" w14:textId="2D1562CC" w:rsidR="00C22764" w:rsidRDefault="009F5897">
      <w:pPr>
        <w:pStyle w:val="Textkrper"/>
        <w:spacing w:before="120" w:after="120" w:line="260" w:lineRule="exact"/>
        <w:jc w:val="both"/>
        <w:rPr>
          <w:rFonts w:ascii="Arial" w:hAnsi="Arial"/>
          <w:b w:val="0"/>
          <w:bCs w:val="0"/>
          <w:color w:val="000000"/>
        </w:rPr>
      </w:pPr>
      <w:r>
        <w:rPr>
          <w:rFonts w:ascii="Arial" w:hAnsi="Arial"/>
          <w:b w:val="0"/>
          <w:color w:val="000000"/>
        </w:rPr>
        <w:t>La última incorporación en la recopilación de consejos prácticos para aplicaciones en la página web de soporte técnico de Würth Elektronik consta de los capítulos «Conceptos básicos y especificaciones del bus I</w:t>
      </w:r>
      <w:r>
        <w:rPr>
          <w:rFonts w:ascii="Arial" w:hAnsi="Arial"/>
          <w:b w:val="0"/>
          <w:color w:val="000000"/>
          <w:vertAlign w:val="superscript"/>
        </w:rPr>
        <w:t>2</w:t>
      </w:r>
      <w:r>
        <w:rPr>
          <w:rFonts w:ascii="Arial" w:hAnsi="Arial"/>
          <w:b w:val="0"/>
          <w:color w:val="000000"/>
        </w:rPr>
        <w:t>C», «Selección de los componentes de protección contra sobretensión y de filtro», «Simulación con LTspice para una frecuencia de reloj de 400 kHz» y «Medición de una aplicación real con una frecuencia de reloj de 400 kHz». Para elaborar la Nota de Aplicación, se crearon modelos de simulación en LTspice y se midió una aplicación real a fin de comparar y verificar los resultados de la simulación.</w:t>
      </w:r>
    </w:p>
    <w:p w14:paraId="0544B586" w14:textId="77777777" w:rsidR="00C22764" w:rsidRDefault="009F5897">
      <w:pPr>
        <w:pStyle w:val="Textkrper"/>
        <w:spacing w:before="120" w:after="120" w:line="260" w:lineRule="exact"/>
        <w:jc w:val="both"/>
        <w:rPr>
          <w:rFonts w:ascii="Arial" w:hAnsi="Arial"/>
          <w:color w:val="000000"/>
        </w:rPr>
      </w:pPr>
      <w:r>
        <w:rPr>
          <w:rFonts w:ascii="Arial" w:hAnsi="Arial"/>
          <w:color w:val="000000"/>
        </w:rPr>
        <w:t>Configuración de la prueba con Featherwings</w:t>
      </w:r>
    </w:p>
    <w:p w14:paraId="37F4955F" w14:textId="17A87970" w:rsidR="00C22764" w:rsidRPr="00A454D8" w:rsidRDefault="009F5897">
      <w:pPr>
        <w:pStyle w:val="Textkrper"/>
        <w:spacing w:before="120" w:after="120" w:line="260" w:lineRule="exact"/>
        <w:jc w:val="both"/>
        <w:rPr>
          <w:rFonts w:ascii="Arial" w:hAnsi="Arial"/>
          <w:b w:val="0"/>
          <w:color w:val="000000"/>
        </w:rPr>
      </w:pPr>
      <w:r>
        <w:rPr>
          <w:rFonts w:ascii="Arial" w:hAnsi="Arial"/>
          <w:b w:val="0"/>
          <w:color w:val="000000"/>
        </w:rPr>
        <w:t xml:space="preserve">Se utilizó una configuración con el </w:t>
      </w:r>
      <w:hyperlink r:id="rId11" w:history="1">
        <w:r>
          <w:rPr>
            <w:rStyle w:val="Hyperlink"/>
            <w:rFonts w:ascii="Arial" w:hAnsi="Arial"/>
            <w:b w:val="0"/>
          </w:rPr>
          <w:t>kit SensorBLE FeatherWing</w:t>
        </w:r>
      </w:hyperlink>
      <w:r>
        <w:rPr>
          <w:rFonts w:ascii="Arial" w:hAnsi="Arial"/>
          <w:b w:val="0"/>
          <w:color w:val="000000"/>
        </w:rPr>
        <w:t xml:space="preserve"> para verificar la simulación. Este kit consta de una placa master con microcontrolador, un módulo Bluetooth y un FeatherWing con sensores de Würth Elektronik (aceleración de 3 ejes, temperatura, humedad, presión). La placa master se comunica con las otras dos mediante el bus I²C a una tasa máxima de datos de 400 kbps. Se utilizaron hilos de cable de 20 cm para conectar la placa del sensor al I²C restante. Por medio de un condensador cerámico se implementó una capacitancia parásita de 400 pF con respecto a GND. Con ayuda de la simulación y la medición se ha podido demostrar que las </w:t>
      </w:r>
      <w:r>
        <w:fldChar w:fldCharType="begin"/>
      </w:r>
      <w:r>
        <w:instrText xml:space="preserve"> HYPERLINK "https://www.we-online.com/en/components/products/WE-CBF?s" </w:instrText>
      </w:r>
      <w:r>
        <w:fldChar w:fldCharType="separate"/>
      </w:r>
      <w:r>
        <w:rPr>
          <w:rStyle w:val="Hyperlink"/>
          <w:rFonts w:ascii="Arial" w:hAnsi="Arial"/>
          <w:b w:val="0"/>
        </w:rPr>
        <w:t>ferritas de banda ancha en montaje SMD</w:t>
      </w:r>
      <w:r>
        <w:rPr>
          <w:rStyle w:val="Hyperlink"/>
          <w:rFonts w:ascii="Arial" w:hAnsi="Arial"/>
          <w:b w:val="0"/>
        </w:rPr>
        <w:fldChar w:fldCharType="end"/>
      </w:r>
      <w:r>
        <w:rPr>
          <w:rFonts w:ascii="Arial" w:hAnsi="Arial"/>
          <w:b w:val="0"/>
          <w:color w:val="000000"/>
        </w:rPr>
        <w:t xml:space="preserve"> en combinación con </w:t>
      </w:r>
      <w:hyperlink r:id="rId12" w:history="1">
        <w:r>
          <w:rPr>
            <w:rStyle w:val="Hyperlink"/>
            <w:rFonts w:ascii="Arial" w:hAnsi="Arial"/>
            <w:b w:val="0"/>
          </w:rPr>
          <w:t>diodos de protección ESD</w:t>
        </w:r>
      </w:hyperlink>
      <w:r>
        <w:rPr>
          <w:rFonts w:ascii="Arial" w:hAnsi="Arial"/>
          <w:b w:val="0"/>
          <w:color w:val="000000"/>
        </w:rPr>
        <w:t xml:space="preserve"> prácticamente no influyen en la señal de datos (SDA) y la señal de reloj (SCL) del bus I²C, pero sí aumentan la inmunidad a las interferencias del bus I²C.</w:t>
      </w:r>
    </w:p>
    <w:p w14:paraId="3D132020" w14:textId="19C71AF1" w:rsidR="009F5897" w:rsidRDefault="009F5897">
      <w:pPr>
        <w:rPr>
          <w:rFonts w:ascii="Arial" w:hAnsi="Arial" w:cs="Arial"/>
          <w:sz w:val="20"/>
          <w:szCs w:val="20"/>
        </w:rPr>
      </w:pPr>
      <w:r>
        <w:rPr>
          <w:rFonts w:ascii="Arial" w:hAnsi="Arial"/>
          <w:b/>
          <w:bCs/>
        </w:rPr>
        <w:br w:type="page"/>
      </w:r>
    </w:p>
    <w:p w14:paraId="06615F21" w14:textId="77777777" w:rsidR="00C22764" w:rsidRDefault="00C22764">
      <w:pPr>
        <w:pStyle w:val="Textkrper"/>
        <w:spacing w:before="120" w:after="120" w:line="260" w:lineRule="exact"/>
        <w:jc w:val="both"/>
        <w:rPr>
          <w:rFonts w:ascii="Arial" w:hAnsi="Arial"/>
          <w:b w:val="0"/>
          <w:bCs w:val="0"/>
        </w:rPr>
      </w:pPr>
    </w:p>
    <w:p w14:paraId="21C43176" w14:textId="77777777" w:rsidR="00C22764" w:rsidRDefault="00C22764">
      <w:pPr>
        <w:pStyle w:val="PITextkrper"/>
        <w:pBdr>
          <w:top w:val="single" w:sz="4" w:space="1" w:color="auto"/>
        </w:pBdr>
        <w:spacing w:before="240"/>
        <w:rPr>
          <w:b/>
          <w:sz w:val="18"/>
          <w:szCs w:val="18"/>
        </w:rPr>
      </w:pPr>
    </w:p>
    <w:p w14:paraId="660B43E6" w14:textId="77777777" w:rsidR="009F5897" w:rsidRPr="001E1BD8" w:rsidRDefault="009F5897" w:rsidP="009F5897">
      <w:pPr>
        <w:spacing w:after="120" w:line="280" w:lineRule="exact"/>
        <w:rPr>
          <w:rFonts w:ascii="Arial" w:hAnsi="Arial" w:cs="Arial"/>
          <w:b/>
          <w:bCs/>
          <w:sz w:val="18"/>
          <w:szCs w:val="18"/>
        </w:rPr>
      </w:pPr>
      <w:r w:rsidRPr="001E1BD8">
        <w:rPr>
          <w:rFonts w:ascii="Arial" w:hAnsi="Arial"/>
          <w:b/>
          <w:sz w:val="18"/>
        </w:rPr>
        <w:t>Imágenes disponibles</w:t>
      </w:r>
    </w:p>
    <w:p w14:paraId="5938C8E9" w14:textId="77777777" w:rsidR="009F5897" w:rsidRPr="001E1BD8" w:rsidRDefault="009F5897" w:rsidP="009F5897">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13" w:history="1">
        <w:r w:rsidRPr="004F0020">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gridCol w:w="2943"/>
      </w:tblGrid>
      <w:tr w:rsidR="00C22764" w14:paraId="0ABFBB27" w14:textId="77777777">
        <w:trPr>
          <w:trHeight w:val="1701"/>
        </w:trPr>
        <w:tc>
          <w:tcPr>
            <w:tcW w:w="4077" w:type="dxa"/>
          </w:tcPr>
          <w:p w14:paraId="63908180" w14:textId="225E666F" w:rsidR="00C22764" w:rsidRDefault="009F5897">
            <w:pPr>
              <w:pStyle w:val="txt"/>
              <w:jc w:val="center"/>
              <w:rPr>
                <w:bCs/>
                <w:sz w:val="16"/>
                <w:szCs w:val="16"/>
              </w:rPr>
            </w:pPr>
            <w:r>
              <w:rPr>
                <w:b/>
              </w:rPr>
              <w:br/>
            </w:r>
            <w:r>
              <w:rPr>
                <w:b/>
              </w:rPr>
              <w:br/>
            </w:r>
            <w:r w:rsidR="000A3A4D">
              <w:rPr>
                <w:noProof/>
              </w:rPr>
              <w:drawing>
                <wp:inline distT="0" distB="0" distL="0" distR="0" wp14:anchorId="34E08FC2" wp14:editId="6B5120A6">
                  <wp:extent cx="2499995" cy="703580"/>
                  <wp:effectExtent l="0" t="0" r="0" b="1270"/>
                  <wp:docPr id="11952345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9995" cy="703580"/>
                          </a:xfrm>
                          <a:prstGeom prst="rect">
                            <a:avLst/>
                          </a:prstGeom>
                          <a:noFill/>
                          <a:ln>
                            <a:noFill/>
                          </a:ln>
                        </pic:spPr>
                      </pic:pic>
                    </a:graphicData>
                  </a:graphic>
                </wp:inline>
              </w:drawing>
            </w:r>
          </w:p>
          <w:p w14:paraId="39C4E8F0" w14:textId="77777777" w:rsidR="00C22764" w:rsidRPr="000A3A4D" w:rsidRDefault="00C22764">
            <w:pPr>
              <w:pStyle w:val="txt"/>
              <w:rPr>
                <w:bCs/>
                <w:sz w:val="8"/>
                <w:szCs w:val="8"/>
              </w:rPr>
            </w:pPr>
          </w:p>
          <w:p w14:paraId="52290612" w14:textId="77777777" w:rsidR="00C22764" w:rsidRDefault="009F5897">
            <w:pPr>
              <w:pStyle w:val="txt"/>
              <w:rPr>
                <w:b/>
                <w:bCs/>
                <w:sz w:val="18"/>
              </w:rPr>
            </w:pPr>
            <w:r>
              <w:rPr>
                <w:sz w:val="16"/>
              </w:rPr>
              <w:t xml:space="preserve">Fuente de la imagen: Würth Elektronik </w:t>
            </w:r>
          </w:p>
          <w:p w14:paraId="0ADAB3F0" w14:textId="72877AF9" w:rsidR="00C22764" w:rsidRDefault="009F5897">
            <w:pPr>
              <w:autoSpaceDE w:val="0"/>
              <w:autoSpaceDN w:val="0"/>
              <w:adjustRightInd w:val="0"/>
              <w:rPr>
                <w:rFonts w:ascii="Arial" w:hAnsi="Arial" w:cs="Arial"/>
                <w:b/>
                <w:sz w:val="18"/>
                <w:szCs w:val="18"/>
              </w:rPr>
            </w:pPr>
            <w:r>
              <w:rPr>
                <w:rFonts w:ascii="Arial" w:hAnsi="Arial"/>
                <w:b/>
                <w:sz w:val="18"/>
              </w:rPr>
              <w:t>Diagrama de bloques de la configuración de prueba con el kit SensorBLE FeatherWing de Würth Elektronik para verificar la supresión de interferencias del bus I²C.</w:t>
            </w:r>
          </w:p>
          <w:p w14:paraId="0335B809" w14:textId="77777777" w:rsidR="00C22764" w:rsidRDefault="00C22764">
            <w:pPr>
              <w:autoSpaceDE w:val="0"/>
              <w:autoSpaceDN w:val="0"/>
              <w:adjustRightInd w:val="0"/>
              <w:rPr>
                <w:rFonts w:ascii="Arial" w:hAnsi="Arial" w:cs="Arial"/>
                <w:b/>
                <w:bCs/>
                <w:sz w:val="18"/>
                <w:szCs w:val="18"/>
              </w:rPr>
            </w:pPr>
          </w:p>
        </w:tc>
        <w:tc>
          <w:tcPr>
            <w:tcW w:w="2943" w:type="dxa"/>
          </w:tcPr>
          <w:p w14:paraId="3EE1ED70" w14:textId="77777777" w:rsidR="00C22764" w:rsidRDefault="009F5897">
            <w:pPr>
              <w:pStyle w:val="txt"/>
              <w:jc w:val="center"/>
              <w:rPr>
                <w:b/>
                <w:bCs/>
                <w:sz w:val="18"/>
              </w:rPr>
            </w:pPr>
            <w:r>
              <w:rPr>
                <w:b/>
              </w:rPr>
              <w:br/>
            </w:r>
            <w:r>
              <w:rPr>
                <w:noProof/>
                <w:sz w:val="18"/>
                <w:lang w:eastAsia="zh-TW"/>
              </w:rPr>
              <w:drawing>
                <wp:inline distT="0" distB="0" distL="0" distR="0" wp14:anchorId="044E594E" wp14:editId="4CC4C267">
                  <wp:extent cx="1333500" cy="1085850"/>
                  <wp:effectExtent l="0" t="0" r="0" b="0"/>
                  <wp:docPr id="2" name="Bild 2" descr="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0" cy="1085850"/>
                          </a:xfrm>
                          <a:prstGeom prst="rect">
                            <a:avLst/>
                          </a:prstGeom>
                          <a:noFill/>
                          <a:ln>
                            <a:noFill/>
                          </a:ln>
                        </pic:spPr>
                      </pic:pic>
                    </a:graphicData>
                  </a:graphic>
                </wp:inline>
              </w:drawing>
            </w:r>
          </w:p>
          <w:p w14:paraId="7C5EB60E" w14:textId="77777777" w:rsidR="00C22764" w:rsidRDefault="009F5897">
            <w:pPr>
              <w:pStyle w:val="txt"/>
              <w:rPr>
                <w:b/>
                <w:bCs/>
                <w:sz w:val="18"/>
              </w:rPr>
            </w:pPr>
            <w:r>
              <w:rPr>
                <w:sz w:val="16"/>
              </w:rPr>
              <w:t xml:space="preserve">Fuente de la imagen: Würth Elektronik </w:t>
            </w:r>
          </w:p>
          <w:p w14:paraId="587B3C28" w14:textId="77777777" w:rsidR="00C22764" w:rsidRDefault="009F5897">
            <w:pPr>
              <w:autoSpaceDE w:val="0"/>
              <w:autoSpaceDN w:val="0"/>
              <w:adjustRightInd w:val="0"/>
              <w:rPr>
                <w:b/>
              </w:rPr>
            </w:pPr>
            <w:r>
              <w:rPr>
                <w:rFonts w:ascii="Arial" w:hAnsi="Arial"/>
                <w:b/>
                <w:sz w:val="18"/>
              </w:rPr>
              <w:t>El kit SensorBLE FeatherWing de Würth Elektronik es la solución ideal para el desarrollo de aplicaciones IoT.</w:t>
            </w:r>
            <w:r>
              <w:rPr>
                <w:rFonts w:ascii="Arial" w:hAnsi="Arial"/>
                <w:b/>
                <w:sz w:val="18"/>
              </w:rPr>
              <w:br/>
            </w:r>
          </w:p>
        </w:tc>
      </w:tr>
    </w:tbl>
    <w:p w14:paraId="787B7ADE" w14:textId="77777777" w:rsidR="00C22764" w:rsidRDefault="00C22764">
      <w:pPr>
        <w:pStyle w:val="PITextkrper"/>
        <w:rPr>
          <w:rFonts w:ascii="Calibri" w:hAnsi="Calibri" w:cs="Calibri"/>
          <w:szCs w:val="22"/>
        </w:rPr>
      </w:pPr>
    </w:p>
    <w:p w14:paraId="2134A05B" w14:textId="77777777" w:rsidR="009F5897" w:rsidRPr="001E1BD8" w:rsidRDefault="009F5897" w:rsidP="009F5897">
      <w:pPr>
        <w:pStyle w:val="Textkrper"/>
        <w:spacing w:before="120" w:after="120" w:line="260" w:lineRule="exact"/>
        <w:jc w:val="both"/>
        <w:rPr>
          <w:rFonts w:ascii="Arial" w:hAnsi="Arial"/>
          <w:b w:val="0"/>
          <w:bCs w:val="0"/>
        </w:rPr>
      </w:pPr>
    </w:p>
    <w:p w14:paraId="7AF8940E" w14:textId="77777777" w:rsidR="009F5897" w:rsidRPr="001E1BD8" w:rsidRDefault="009F5897" w:rsidP="009F5897">
      <w:pPr>
        <w:pStyle w:val="PITextkrper"/>
        <w:pBdr>
          <w:top w:val="single" w:sz="4" w:space="1" w:color="auto"/>
        </w:pBdr>
        <w:spacing w:before="240"/>
        <w:rPr>
          <w:b/>
          <w:sz w:val="18"/>
          <w:szCs w:val="18"/>
        </w:rPr>
      </w:pPr>
    </w:p>
    <w:p w14:paraId="2D54C47D" w14:textId="77777777" w:rsidR="009F5897" w:rsidRPr="001E1BD8" w:rsidRDefault="009F5897" w:rsidP="009F5897">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2802BC5D" w14:textId="77777777" w:rsidR="009F5897" w:rsidRPr="00D52616" w:rsidRDefault="009F5897" w:rsidP="009F5897">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0C01042B" w14:textId="77777777" w:rsidR="009F5897" w:rsidRPr="000E113C" w:rsidRDefault="009F5897" w:rsidP="009F5897">
      <w:pPr>
        <w:pStyle w:val="Textkrper"/>
        <w:spacing w:before="120" w:after="120" w:line="276" w:lineRule="auto"/>
        <w:jc w:val="both"/>
        <w:rPr>
          <w:b w:val="0"/>
          <w:bCs w:val="0"/>
        </w:rPr>
      </w:pPr>
      <w:r w:rsidRPr="000E113C">
        <w:rPr>
          <w:rFonts w:ascii="Arial" w:hAnsi="Arial"/>
          <w:b w:val="0"/>
          <w:bCs w:val="0"/>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p>
    <w:p w14:paraId="1E09AAEF" w14:textId="77777777" w:rsidR="009F5897" w:rsidRDefault="009F5897" w:rsidP="009F5897">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73EF46F9" w14:textId="77777777" w:rsidR="009F5897" w:rsidRPr="00A853B3" w:rsidRDefault="009F5897" w:rsidP="009F5897">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sidRPr="00A56EAD">
        <w:rPr>
          <w:bCs/>
          <w:sz w:val="20"/>
          <w:lang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sidRPr="00A56EAD">
        <w:rPr>
          <w:bCs/>
          <w:sz w:val="20"/>
          <w:lang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sidRPr="00A56EAD">
        <w:rPr>
          <w:bCs/>
          <w:sz w:val="20"/>
          <w:lang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40A3C31C" w14:textId="77777777" w:rsidR="009F5897" w:rsidRDefault="009F5897" w:rsidP="009F5897">
      <w:pPr>
        <w:pStyle w:val="Textkrper"/>
        <w:spacing w:before="120" w:after="120" w:line="276" w:lineRule="auto"/>
        <w:rPr>
          <w:rFonts w:ascii="Arial" w:hAnsi="Arial"/>
          <w:b w:val="0"/>
        </w:rPr>
      </w:pPr>
    </w:p>
    <w:p w14:paraId="3D82A87B" w14:textId="4B240A16" w:rsidR="009F5897" w:rsidRPr="001E1BD8" w:rsidRDefault="009F5897" w:rsidP="009F5897">
      <w:pPr>
        <w:pStyle w:val="Textkrper"/>
        <w:spacing w:before="120" w:after="120" w:line="276" w:lineRule="auto"/>
        <w:rPr>
          <w:rFonts w:ascii="Arial" w:hAnsi="Arial"/>
          <w:b w:val="0"/>
        </w:rPr>
      </w:pPr>
      <w:r w:rsidRPr="001E1BD8">
        <w:rPr>
          <w:rFonts w:ascii="Arial" w:hAnsi="Arial"/>
          <w:b w:val="0"/>
        </w:rPr>
        <w:t>Würth Elektronik: more than you expect!</w:t>
      </w:r>
    </w:p>
    <w:p w14:paraId="5886516C" w14:textId="77777777" w:rsidR="009F5897" w:rsidRPr="001E1BD8" w:rsidRDefault="009F5897" w:rsidP="009F5897">
      <w:pPr>
        <w:pStyle w:val="Textkrper"/>
        <w:spacing w:before="120" w:after="120" w:line="276" w:lineRule="auto"/>
        <w:rPr>
          <w:rFonts w:ascii="Arial" w:hAnsi="Arial"/>
        </w:rPr>
      </w:pPr>
      <w:r w:rsidRPr="001E1BD8">
        <w:rPr>
          <w:rFonts w:ascii="Arial" w:hAnsi="Arial"/>
        </w:rPr>
        <w:t>Más información en www.we-online.com</w:t>
      </w:r>
    </w:p>
    <w:p w14:paraId="33EE74CD" w14:textId="77777777" w:rsidR="009F5897" w:rsidRPr="001E1BD8" w:rsidRDefault="009F5897" w:rsidP="009F5897">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9F5897" w:rsidRPr="001E1BD8" w14:paraId="1A21AFE0" w14:textId="77777777" w:rsidTr="00E56F55">
        <w:tc>
          <w:tcPr>
            <w:tcW w:w="3902" w:type="dxa"/>
            <w:hideMark/>
          </w:tcPr>
          <w:p w14:paraId="5E03AAC5" w14:textId="77777777" w:rsidR="009F5897" w:rsidRPr="001E1BD8" w:rsidRDefault="009F5897" w:rsidP="00E56F55">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4DBB40A6" w14:textId="77777777" w:rsidR="009F5897" w:rsidRPr="001E1BD8" w:rsidRDefault="009F5897" w:rsidP="00E56F55">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23AC0E87" w14:textId="77777777" w:rsidR="009F5897" w:rsidRPr="004F0020" w:rsidRDefault="009F5897" w:rsidP="00E56F55">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1AB60BF0" w14:textId="77777777" w:rsidR="009F5897" w:rsidRPr="001E1BD8" w:rsidRDefault="009F5897" w:rsidP="00E56F55">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54F4C72F" w14:textId="77777777" w:rsidR="009F5897" w:rsidRPr="001E1BD8" w:rsidRDefault="009F5897" w:rsidP="00E56F55">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4D8A3D7A" w14:textId="77777777" w:rsidR="009F5897" w:rsidRPr="001E1BD8" w:rsidRDefault="009F5897" w:rsidP="00E56F55">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4B653E45" w14:textId="77777777" w:rsidR="009F5897" w:rsidRPr="001E1BD8" w:rsidRDefault="009F5897" w:rsidP="00E56F55">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0612CBD0" w14:textId="77777777" w:rsidR="009F5897" w:rsidRPr="001E1BD8" w:rsidRDefault="009F5897" w:rsidP="00E56F55">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1964D887" w14:textId="77777777" w:rsidR="009F5897" w:rsidRPr="001E1BD8" w:rsidRDefault="009F5897" w:rsidP="009F5897">
      <w:pPr>
        <w:pStyle w:val="Textkrper"/>
        <w:spacing w:before="120" w:after="120" w:line="276" w:lineRule="auto"/>
      </w:pPr>
    </w:p>
    <w:p w14:paraId="4CD376B4" w14:textId="77777777" w:rsidR="009F5897" w:rsidRPr="001E1BD8" w:rsidRDefault="009F5897" w:rsidP="009F5897">
      <w:pPr>
        <w:pStyle w:val="Textkrper"/>
        <w:spacing w:before="120" w:after="120" w:line="276" w:lineRule="auto"/>
      </w:pPr>
    </w:p>
    <w:p w14:paraId="43FB77ED" w14:textId="77777777" w:rsidR="009F5897" w:rsidRDefault="009F5897">
      <w:pPr>
        <w:pStyle w:val="PITextkrper"/>
        <w:rPr>
          <w:rFonts w:ascii="Calibri" w:hAnsi="Calibri" w:cs="Calibri"/>
          <w:szCs w:val="22"/>
        </w:rPr>
      </w:pPr>
    </w:p>
    <w:sectPr w:rsidR="009F5897">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90CC4" w14:textId="77777777" w:rsidR="00C22764" w:rsidRDefault="009F5897">
      <w:r>
        <w:separator/>
      </w:r>
    </w:p>
  </w:endnote>
  <w:endnote w:type="continuationSeparator" w:id="0">
    <w:p w14:paraId="75D31E5B" w14:textId="77777777" w:rsidR="00C22764" w:rsidRDefault="009F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EE32" w14:textId="77777777" w:rsidR="00C22764" w:rsidRDefault="009F5897">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WTH1PI1283_es.docx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62C1E" w14:textId="77777777" w:rsidR="00C22764" w:rsidRDefault="009F5897">
      <w:r>
        <w:separator/>
      </w:r>
    </w:p>
  </w:footnote>
  <w:footnote w:type="continuationSeparator" w:id="0">
    <w:p w14:paraId="1C88F909" w14:textId="77777777" w:rsidR="00C22764" w:rsidRDefault="009F5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F3F8" w14:textId="77777777" w:rsidR="00C22764" w:rsidRDefault="009F5897">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014CF60A" wp14:editId="00878E7E">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4545413">
    <w:abstractNumId w:val="4"/>
  </w:num>
  <w:num w:numId="2" w16cid:durableId="1886402374">
    <w:abstractNumId w:val="1"/>
  </w:num>
  <w:num w:numId="3" w16cid:durableId="1284268370">
    <w:abstractNumId w:val="2"/>
  </w:num>
  <w:num w:numId="4" w16cid:durableId="2134054967">
    <w:abstractNumId w:val="3"/>
  </w:num>
  <w:num w:numId="5" w16cid:durableId="72098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4"/>
    <w:rsid w:val="000A3A4D"/>
    <w:rsid w:val="009F5897"/>
    <w:rsid w:val="00A454D8"/>
    <w:rsid w:val="00C22764"/>
    <w:rsid w:val="00F74802"/>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AB93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k.htcm.de/press-releases/wuert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online.com/en/components/products/WE-TVS-S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products/SENSOR_BLE__FEATHERWING_KIT?ajax="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2" ma:contentTypeDescription="Ein neues Dokument erstellen." ma:contentTypeScope="" ma:versionID="68bdc703d334e74694664054727c1c7b">
  <xsd:schema xmlns:xsd="http://www.w3.org/2001/XMLSchema" xmlns:xs="http://www.w3.org/2001/XMLSchema" xmlns:p="http://schemas.microsoft.com/office/2006/metadata/properties" xmlns:ns3="7ed61d0f-f2a2-4346-a086-b7390c7f5cf9" targetNamespace="http://schemas.microsoft.com/office/2006/metadata/properties" ma:root="true" ma:fieldsID="961ddbe79e2f56cba153d25b43acddc1" ns3:_="">
    <xsd:import namespace="7ed61d0f-f2a2-4346-a086-b7390c7f5c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E11E71-B1A1-4ED4-B1E6-E0FC0B06BDF3}">
  <ds:schemaRefs>
    <ds:schemaRef ds:uri="http://purl.org/dc/terms/"/>
    <ds:schemaRef ds:uri="http://schemas.openxmlformats.org/package/2006/metadata/core-properties"/>
    <ds:schemaRef ds:uri="http://purl.org/dc/dcmitype/"/>
    <ds:schemaRef ds:uri="http://schemas.microsoft.com/office/infopath/2007/PartnerControls"/>
    <ds:schemaRef ds:uri="7ed61d0f-f2a2-4346-a086-b7390c7f5cf9"/>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E730CF9-B067-482C-AB91-380BF1D5C4E4}">
  <ds:schemaRefs>
    <ds:schemaRef ds:uri="http://schemas.openxmlformats.org/officeDocument/2006/bibliography"/>
  </ds:schemaRefs>
</ds:datastoreItem>
</file>

<file path=customXml/itemProps3.xml><?xml version="1.0" encoding="utf-8"?>
<ds:datastoreItem xmlns:ds="http://schemas.openxmlformats.org/officeDocument/2006/customXml" ds:itemID="{776562D0-D538-4EA3-94F3-12EF09E543DA}">
  <ds:schemaRefs>
    <ds:schemaRef ds:uri="http://schemas.microsoft.com/sharepoint/v3/contenttype/forms"/>
  </ds:schemaRefs>
</ds:datastoreItem>
</file>

<file path=customXml/itemProps4.xml><?xml version="1.0" encoding="utf-8"?>
<ds:datastoreItem xmlns:ds="http://schemas.openxmlformats.org/officeDocument/2006/customXml" ds:itemID="{7597DF6E-3F09-48CF-8663-B4F9828D0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4689</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5429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2023-08-02T08:39:00Z</dcterms:created>
  <dcterms:modified xsi:type="dcterms:W3CDTF">2023-08-02T08:52:00Z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