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7181" w14:textId="77777777" w:rsidR="00C67BE7" w:rsidRDefault="00C56AB6">
      <w:pPr>
        <w:pStyle w:val="Heading1"/>
        <w:spacing w:before="720" w:after="720" w:line="260" w:lineRule="exact"/>
        <w:rPr>
          <w:sz w:val="20"/>
        </w:rPr>
      </w:pPr>
      <w:r>
        <w:rPr>
          <w:sz w:val="20"/>
        </w:rPr>
        <w:t>COMUNICADO DE PRENSA</w:t>
      </w:r>
    </w:p>
    <w:p w14:paraId="1A9E3CE7" w14:textId="77777777" w:rsidR="00C67BE7" w:rsidRDefault="00C56AB6">
      <w:pPr>
        <w:pStyle w:val="Header"/>
        <w:tabs>
          <w:tab w:val="clear" w:pos="4536"/>
          <w:tab w:val="clear" w:pos="9072"/>
        </w:tabs>
        <w:spacing w:before="120" w:after="120" w:line="360" w:lineRule="exact"/>
        <w:outlineLvl w:val="0"/>
        <w:rPr>
          <w:rFonts w:ascii="Arial" w:hAnsi="Arial" w:cs="Arial"/>
          <w:b/>
          <w:bCs/>
          <w:sz w:val="23"/>
          <w:szCs w:val="23"/>
        </w:rPr>
      </w:pPr>
      <w:r>
        <w:rPr>
          <w:rFonts w:ascii="Arial" w:hAnsi="Arial"/>
          <w:b/>
          <w:sz w:val="23"/>
        </w:rPr>
        <w:t>Würth Elektronik presenta los condensadores DC-Link WCAP-FTDB</w:t>
      </w:r>
    </w:p>
    <w:p w14:paraId="439337FE" w14:textId="77777777" w:rsidR="00C67BE7" w:rsidRDefault="00C56AB6">
      <w:pPr>
        <w:pStyle w:val="Header"/>
        <w:tabs>
          <w:tab w:val="clear" w:pos="4536"/>
          <w:tab w:val="clear" w:pos="9072"/>
        </w:tabs>
        <w:spacing w:before="360" w:after="360"/>
        <w:rPr>
          <w:rFonts w:ascii="Arial" w:hAnsi="Arial" w:cs="Arial"/>
          <w:b/>
          <w:bCs/>
          <w:sz w:val="36"/>
        </w:rPr>
      </w:pPr>
      <w:r>
        <w:rPr>
          <w:rFonts w:ascii="Arial" w:hAnsi="Arial"/>
          <w:b/>
          <w:color w:val="000000"/>
          <w:sz w:val="36"/>
        </w:rPr>
        <w:t>Estabilización de convertidores en sistemas de carga y equipos fotovoltaicos</w:t>
      </w:r>
    </w:p>
    <w:p w14:paraId="01D7EF75" w14:textId="2CC6AE2A" w:rsidR="00C67BE7" w:rsidRDefault="00C56AB6">
      <w:pPr>
        <w:pStyle w:val="BodyText"/>
        <w:spacing w:before="120" w:after="120" w:line="260" w:lineRule="exact"/>
        <w:jc w:val="both"/>
        <w:rPr>
          <w:rFonts w:ascii="Arial" w:hAnsi="Arial"/>
          <w:color w:val="000000"/>
        </w:rPr>
      </w:pPr>
      <w:r>
        <w:rPr>
          <w:rFonts w:ascii="Arial" w:hAnsi="Arial"/>
          <w:color w:val="000000"/>
        </w:rPr>
        <w:t xml:space="preserve">Waldenburg (Alemania), </w:t>
      </w:r>
      <w:r w:rsidR="00966A0C" w:rsidRPr="00966A0C">
        <w:rPr>
          <w:rFonts w:ascii="Arial" w:hAnsi="Arial"/>
          <w:color w:val="000000"/>
        </w:rPr>
        <w:t>30 de marzo de 2023</w:t>
      </w:r>
      <w:r>
        <w:rPr>
          <w:rFonts w:ascii="Arial" w:hAnsi="Arial"/>
          <w:color w:val="000000"/>
        </w:rPr>
        <w:t xml:space="preserve"> – Würth Elektronik presenta una nueva serie de condensadores film especialmente diseñados para aplicaciones DC-Link. Los componentes de la serie </w:t>
      </w:r>
      <w:hyperlink r:id="rId8" w:history="1">
        <w:r>
          <w:rPr>
            <w:rStyle w:val="Hyperlink"/>
            <w:rFonts w:ascii="Arial" w:hAnsi="Arial"/>
          </w:rPr>
          <w:t>WCAP-FTDB</w:t>
        </w:r>
      </w:hyperlink>
      <w:r>
        <w:rPr>
          <w:rFonts w:ascii="Arial" w:hAnsi="Arial"/>
        </w:rPr>
        <w:t xml:space="preserve"> pueden utilizarse en un rango de tensión entre 500 y 1200 V y se caracterizan por una elevada capacidad de carga de corriente de rizado. Esto los hace especialmente atractivos para su uso en inversores y convertidores DC-DC de sistemas de carga y electrónica de potencia en el contexto de la movilidad eléctrica o soluciones en el ámbito de las energías renovables. </w:t>
      </w:r>
      <w:r>
        <w:rPr>
          <w:rFonts w:ascii="Arial" w:hAnsi="Arial"/>
          <w:color w:val="000000"/>
        </w:rPr>
        <w:t>La familia de productos consta de 24 opciones según el valor de capacidad entre 1 µF y 75 µF.</w:t>
      </w:r>
    </w:p>
    <w:p w14:paraId="540A095C" w14:textId="57EE23EF" w:rsidR="00C67BE7" w:rsidRDefault="00C56AB6">
      <w:pPr>
        <w:pStyle w:val="BodyText"/>
        <w:spacing w:before="120" w:after="120" w:line="260" w:lineRule="exact"/>
        <w:jc w:val="both"/>
        <w:rPr>
          <w:rFonts w:ascii="Arial" w:hAnsi="Arial"/>
          <w:b w:val="0"/>
          <w:bCs w:val="0"/>
        </w:rPr>
      </w:pPr>
      <w:r>
        <w:rPr>
          <w:rFonts w:ascii="Arial" w:hAnsi="Arial"/>
          <w:b w:val="0"/>
        </w:rPr>
        <w:t>Los condensadores para estabilizar la tensión del circuito intermedio son muy robustos. Gracias a su construcción de película de polipropileno metalizado, cuentan con propiedades autorregenerativas ya que los cortocircuitos "queman" su propia causa y garantizan así un dieléctrico intacto de nuevo. Significativamente más duradera que otros tipos de condensadores, la serie WCAP-FTDB resulta adecuada para aplicaciones con ciclos de mantenimiento largos, como los aerogeneradores. Würth Elektronik ofrece un diseño THT para esta familia de componentes con anchos de paso de 27,5 mm, 37,5 mm y 52,5 mm. La temperatura de funcionamiento de los condensadores film va de -40°C a 105°C, y los valores máximos de tensión se alcanzan hasta 85°C.</w:t>
      </w:r>
    </w:p>
    <w:p w14:paraId="2015EE8F" w14:textId="6377B637" w:rsidR="00C67BE7" w:rsidRDefault="00C56AB6">
      <w:pPr>
        <w:pStyle w:val="BodyText"/>
        <w:spacing w:before="120" w:after="120" w:line="260" w:lineRule="exact"/>
        <w:jc w:val="both"/>
        <w:rPr>
          <w:rFonts w:ascii="Arial" w:hAnsi="Arial"/>
          <w:b w:val="0"/>
          <w:bCs w:val="0"/>
        </w:rPr>
      </w:pPr>
      <w:r>
        <w:rPr>
          <w:rFonts w:ascii="Arial" w:hAnsi="Arial"/>
          <w:b w:val="0"/>
        </w:rPr>
        <w:t xml:space="preserve">Los condensadores de circuito intermedio WCAP-FTDB ya están disponibles en stock sin pedido mínimo, al igual que el resto de productos del catálogo </w:t>
      </w:r>
      <w:hyperlink r:id="rId9" w:history="1">
        <w:r>
          <w:rPr>
            <w:rStyle w:val="Hyperlink"/>
            <w:rFonts w:ascii="Arial" w:hAnsi="Arial"/>
            <w:b w:val="0"/>
          </w:rPr>
          <w:t>Electronic Components 2022/2023</w:t>
        </w:r>
      </w:hyperlink>
      <w:r>
        <w:rPr>
          <w:rStyle w:val="Hyperlink"/>
          <w:rFonts w:ascii="Arial" w:hAnsi="Arial"/>
          <w:b w:val="0"/>
        </w:rPr>
        <w:t>.</w:t>
      </w:r>
      <w:r>
        <w:rPr>
          <w:rFonts w:ascii="Arial" w:hAnsi="Arial"/>
          <w:b w:val="0"/>
        </w:rPr>
        <w:t xml:space="preserve"> Würth Elektronik proporciona muestras gratuitas, y mediante la herramienta web </w:t>
      </w:r>
      <w:hyperlink r:id="rId10" w:anchor="/module/49" w:history="1">
        <w:r>
          <w:rPr>
            <w:rStyle w:val="Hyperlink"/>
            <w:rFonts w:ascii="Arial" w:hAnsi="Arial"/>
            <w:b w:val="0"/>
          </w:rPr>
          <w:t>REDEXPERT</w:t>
        </w:r>
      </w:hyperlink>
      <w:r>
        <w:rPr>
          <w:rFonts w:ascii="Arial" w:hAnsi="Arial"/>
          <w:b w:val="0"/>
        </w:rPr>
        <w:t xml:space="preserve"> ha puesto a disposición de los diseñadores una amplia cantidad de datos característicos obtenidos con las medidas de los condensadores, facilitando la selección de los componentes adecuados.</w:t>
      </w:r>
    </w:p>
    <w:p w14:paraId="046DB028" w14:textId="77777777" w:rsidR="00C67BE7" w:rsidRDefault="00C67BE7">
      <w:pPr>
        <w:pStyle w:val="BodyText"/>
        <w:spacing w:before="120" w:after="120" w:line="260" w:lineRule="exact"/>
        <w:jc w:val="both"/>
        <w:rPr>
          <w:rFonts w:ascii="Arial" w:hAnsi="Arial"/>
          <w:b w:val="0"/>
          <w:bCs w:val="0"/>
        </w:rPr>
      </w:pPr>
    </w:p>
    <w:p w14:paraId="7F0B9797" w14:textId="0D347949" w:rsidR="00C67BE7" w:rsidRDefault="00C56AB6">
      <w:pPr>
        <w:pStyle w:val="BodyText"/>
        <w:spacing w:before="120" w:after="120" w:line="260" w:lineRule="exact"/>
        <w:jc w:val="both"/>
      </w:pPr>
      <w:r>
        <w:br w:type="page"/>
      </w:r>
    </w:p>
    <w:p w14:paraId="311DADAD" w14:textId="77777777" w:rsidR="00C56AB6" w:rsidRDefault="00C56AB6">
      <w:pPr>
        <w:pStyle w:val="BodyText"/>
        <w:spacing w:before="120" w:after="120" w:line="260" w:lineRule="exact"/>
        <w:jc w:val="both"/>
        <w:rPr>
          <w:rFonts w:ascii="Arial" w:hAnsi="Arial"/>
        </w:rPr>
      </w:pPr>
    </w:p>
    <w:p w14:paraId="7AC36A5F" w14:textId="77777777" w:rsidR="00C67BE7" w:rsidRPr="00966A0C" w:rsidRDefault="00C67BE7">
      <w:pPr>
        <w:pStyle w:val="PITextkrper"/>
        <w:pBdr>
          <w:top w:val="single" w:sz="4" w:space="1" w:color="auto"/>
        </w:pBdr>
        <w:spacing w:before="240"/>
        <w:rPr>
          <w:b/>
          <w:sz w:val="18"/>
          <w:szCs w:val="18"/>
        </w:rPr>
      </w:pPr>
    </w:p>
    <w:p w14:paraId="07342A87" w14:textId="77777777" w:rsidR="00C56AB6" w:rsidRPr="001E1BD8" w:rsidRDefault="00C56AB6" w:rsidP="00C56AB6">
      <w:pPr>
        <w:spacing w:after="120" w:line="280" w:lineRule="exact"/>
        <w:rPr>
          <w:rFonts w:ascii="Arial" w:hAnsi="Arial" w:cs="Arial"/>
          <w:b/>
          <w:bCs/>
          <w:sz w:val="18"/>
          <w:szCs w:val="18"/>
        </w:rPr>
      </w:pPr>
      <w:r w:rsidRPr="001E1BD8">
        <w:rPr>
          <w:rFonts w:ascii="Arial" w:hAnsi="Arial"/>
          <w:b/>
          <w:sz w:val="18"/>
        </w:rPr>
        <w:t>Imágenes disponibles</w:t>
      </w:r>
    </w:p>
    <w:p w14:paraId="775024FA" w14:textId="77777777" w:rsidR="00C56AB6" w:rsidRPr="001E1BD8" w:rsidRDefault="00C56AB6" w:rsidP="00C56AB6">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1"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67BE7" w14:paraId="004A4C8C" w14:textId="77777777">
        <w:trPr>
          <w:trHeight w:val="1701"/>
        </w:trPr>
        <w:tc>
          <w:tcPr>
            <w:tcW w:w="3510" w:type="dxa"/>
          </w:tcPr>
          <w:p w14:paraId="3D324967" w14:textId="77777777" w:rsidR="00C67BE7" w:rsidRDefault="00C56AB6">
            <w:pPr>
              <w:pStyle w:val="txt"/>
              <w:rPr>
                <w:b/>
                <w:bCs/>
                <w:sz w:val="18"/>
              </w:rPr>
            </w:pPr>
            <w:r>
              <w:rPr>
                <w:b/>
              </w:rPr>
              <w:br/>
            </w:r>
            <w:r>
              <w:rPr>
                <w:noProof/>
                <w:lang w:eastAsia="zh-TW"/>
              </w:rPr>
              <w:drawing>
                <wp:inline distT="0" distB="0" distL="0" distR="0" wp14:anchorId="53336151" wp14:editId="7529438E">
                  <wp:extent cx="2194560" cy="1814195"/>
                  <wp:effectExtent l="0" t="0" r="0" b="0"/>
                  <wp:docPr id="4" name="Picture 1" descr="https://www.we-online.com/katalog/media/o696492v209 family_WCAP_FTDB_52.5x57x35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696492v209 family_WCAP_FTDB_52.5x57x35x50.jpg"/>
                          <pic:cNvPicPr>
                            <a:picLocks noChangeAspect="1" noChangeArrowheads="1"/>
                          </pic:cNvPicPr>
                        </pic:nvPicPr>
                        <pic:blipFill>
                          <a:blip r:embed="rId12" cstate="print">
                            <a:extLst>
                              <a:ext uri="{28A0092B-C50C-407E-A947-70E740481C1C}">
                                <a14:useLocalDpi xmlns:a14="http://schemas.microsoft.com/office/drawing/2010/main" val="0"/>
                              </a:ext>
                            </a:extLst>
                          </a:blip>
                          <a:srcRect t="6926" b="10851"/>
                          <a:stretch>
                            <a:fillRect/>
                          </a:stretch>
                        </pic:blipFill>
                        <pic:spPr bwMode="auto">
                          <a:xfrm>
                            <a:off x="0" y="0"/>
                            <a:ext cx="2194560" cy="1814195"/>
                          </a:xfrm>
                          <a:prstGeom prst="rect">
                            <a:avLst/>
                          </a:prstGeom>
                          <a:noFill/>
                          <a:ln>
                            <a:noFill/>
                          </a:ln>
                        </pic:spPr>
                      </pic:pic>
                    </a:graphicData>
                  </a:graphic>
                </wp:inline>
              </w:drawing>
            </w:r>
            <w:r>
              <w:rPr>
                <w:sz w:val="16"/>
              </w:rPr>
              <w:t xml:space="preserve">Fuente de la imagen: Würth Elektronik </w:t>
            </w:r>
          </w:p>
          <w:p w14:paraId="4D36B9CD" w14:textId="77777777" w:rsidR="00C67BE7" w:rsidRDefault="00C56AB6">
            <w:pPr>
              <w:autoSpaceDE w:val="0"/>
              <w:autoSpaceDN w:val="0"/>
              <w:adjustRightInd w:val="0"/>
              <w:rPr>
                <w:rFonts w:ascii="Arial" w:hAnsi="Arial" w:cs="Arial"/>
                <w:b/>
                <w:sz w:val="18"/>
                <w:szCs w:val="18"/>
              </w:rPr>
            </w:pPr>
            <w:r>
              <w:rPr>
                <w:rFonts w:ascii="Arial" w:hAnsi="Arial"/>
                <w:b/>
                <w:sz w:val="18"/>
              </w:rPr>
              <w:t>El condensador DC-Link WCAP-FTDB</w:t>
            </w:r>
          </w:p>
          <w:p w14:paraId="4782CEF4" w14:textId="77777777" w:rsidR="00C67BE7" w:rsidRDefault="00C67BE7">
            <w:pPr>
              <w:autoSpaceDE w:val="0"/>
              <w:autoSpaceDN w:val="0"/>
              <w:adjustRightInd w:val="0"/>
              <w:rPr>
                <w:rFonts w:ascii="Arial" w:hAnsi="Arial" w:cs="Arial"/>
                <w:b/>
                <w:bCs/>
                <w:sz w:val="18"/>
                <w:szCs w:val="18"/>
              </w:rPr>
            </w:pPr>
          </w:p>
        </w:tc>
      </w:tr>
    </w:tbl>
    <w:p w14:paraId="3D674B89" w14:textId="77777777" w:rsidR="00C67BE7" w:rsidRPr="00966A0C" w:rsidRDefault="00C67BE7">
      <w:pPr>
        <w:pStyle w:val="PITextkrper"/>
        <w:rPr>
          <w:b/>
          <w:bCs/>
          <w:sz w:val="18"/>
          <w:szCs w:val="18"/>
        </w:rPr>
      </w:pPr>
    </w:p>
    <w:p w14:paraId="3EC994D9" w14:textId="77777777" w:rsidR="00C67BE7" w:rsidRPr="00966A0C" w:rsidRDefault="00C67BE7">
      <w:pPr>
        <w:pStyle w:val="PITextkrper"/>
        <w:rPr>
          <w:b/>
          <w:bCs/>
          <w:sz w:val="18"/>
          <w:szCs w:val="18"/>
        </w:rPr>
      </w:pPr>
    </w:p>
    <w:p w14:paraId="56601508" w14:textId="77777777" w:rsidR="00C67BE7" w:rsidRDefault="00C56AB6">
      <w:pPr>
        <w:pStyle w:val="PITextkrper"/>
        <w:rPr>
          <w:b/>
          <w:bCs/>
          <w:sz w:val="18"/>
          <w:szCs w:val="18"/>
        </w:rPr>
      </w:pPr>
      <w:r>
        <w:rPr>
          <w:b/>
          <w:sz w:val="18"/>
        </w:rPr>
        <w:t>Vídeos disponibles</w:t>
      </w:r>
    </w:p>
    <w:p w14:paraId="3F13C9B2" w14:textId="0EE115CE" w:rsidR="00C67BE7" w:rsidRDefault="00C56AB6">
      <w:pPr>
        <w:pStyle w:val="PIAbspann"/>
        <w:jc w:val="left"/>
        <w:rPr>
          <w:rStyle w:val="Hyperlink"/>
          <w:rFonts w:cs="Arial"/>
          <w:bCs/>
          <w:color w:val="auto"/>
          <w:szCs w:val="18"/>
        </w:rPr>
      </w:pPr>
      <w:r>
        <w:t xml:space="preserve">En nuestro canal de YouTube encontrará el seminario explicativo de estos productos: </w:t>
      </w: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C67BE7" w14:paraId="144033CF" w14:textId="77777777">
        <w:trPr>
          <w:trHeight w:val="1701"/>
        </w:trPr>
        <w:tc>
          <w:tcPr>
            <w:tcW w:w="4219" w:type="dxa"/>
          </w:tcPr>
          <w:p w14:paraId="752D79D1" w14:textId="77777777" w:rsidR="00C67BE7" w:rsidRPr="00966A0C" w:rsidRDefault="00C56AB6">
            <w:pPr>
              <w:pStyle w:val="txt"/>
              <w:rPr>
                <w:b/>
                <w:bCs/>
                <w:sz w:val="18"/>
                <w:lang w:val="de-DE"/>
              </w:rPr>
            </w:pPr>
            <w:r>
              <w:br/>
            </w:r>
            <w:r>
              <w:rPr>
                <w:noProof/>
                <w:lang w:eastAsia="zh-TW"/>
              </w:rPr>
              <w:drawing>
                <wp:inline distT="0" distB="0" distL="0" distR="0" wp14:anchorId="4B118457" wp14:editId="7A0ECADA">
                  <wp:extent cx="2560320" cy="1463040"/>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r w:rsidRPr="00966A0C">
              <w:rPr>
                <w:b/>
                <w:lang w:val="de-DE"/>
              </w:rPr>
              <w:br/>
            </w:r>
            <w:r w:rsidRPr="00966A0C">
              <w:rPr>
                <w:sz w:val="16"/>
                <w:lang w:val="de-DE"/>
              </w:rPr>
              <w:t xml:space="preserve">Fuente: Würth Elektronik </w:t>
            </w:r>
          </w:p>
          <w:p w14:paraId="6CA7440E" w14:textId="77777777" w:rsidR="00C67BE7" w:rsidRPr="00966A0C" w:rsidRDefault="00C56AB6">
            <w:pPr>
              <w:autoSpaceDE w:val="0"/>
              <w:autoSpaceDN w:val="0"/>
              <w:adjustRightInd w:val="0"/>
              <w:rPr>
                <w:rFonts w:ascii="Arial" w:hAnsi="Arial" w:cs="Arial"/>
                <w:bCs/>
                <w:sz w:val="18"/>
                <w:szCs w:val="18"/>
                <w:lang w:val="de-DE"/>
              </w:rPr>
            </w:pPr>
            <w:r w:rsidRPr="00966A0C">
              <w:rPr>
                <w:rFonts w:ascii="Arial" w:hAnsi="Arial"/>
                <w:b/>
                <w:sz w:val="18"/>
                <w:lang w:val="de-DE"/>
              </w:rPr>
              <w:t xml:space="preserve">Seminario web: </w:t>
            </w:r>
            <w:r w:rsidRPr="00966A0C">
              <w:rPr>
                <w:rFonts w:ascii="Arial" w:hAnsi="Arial"/>
                <w:b/>
                <w:sz w:val="18"/>
                <w:lang w:val="de-DE"/>
              </w:rPr>
              <w:br/>
            </w:r>
            <w:hyperlink r:id="rId15" w:history="1">
              <w:r w:rsidRPr="00966A0C">
                <w:rPr>
                  <w:rStyle w:val="Hyperlink"/>
                  <w:rFonts w:ascii="Arial" w:hAnsi="Arial"/>
                  <w:sz w:val="18"/>
                  <w:lang w:val="de-DE"/>
                </w:rPr>
                <w:t>https://www.youtube.com/watch?v=UKJXqoDvGYs&amp;list=PLZJdRX1BvL0z2_-tc-ZSUPC0kd7tyexYd&amp;index=1</w:t>
              </w:r>
            </w:hyperlink>
          </w:p>
          <w:p w14:paraId="67EAB41C" w14:textId="77777777" w:rsidR="00C67BE7" w:rsidRPr="00966A0C" w:rsidRDefault="00C67BE7">
            <w:pPr>
              <w:autoSpaceDE w:val="0"/>
              <w:autoSpaceDN w:val="0"/>
              <w:adjustRightInd w:val="0"/>
              <w:rPr>
                <w:rFonts w:ascii="Arial" w:hAnsi="Arial" w:cs="Arial"/>
                <w:bCs/>
                <w:sz w:val="18"/>
                <w:szCs w:val="18"/>
                <w:lang w:val="de-DE"/>
              </w:rPr>
            </w:pPr>
          </w:p>
          <w:p w14:paraId="320C8D16" w14:textId="36B1B005" w:rsidR="00C67BE7" w:rsidRDefault="00C56AB6">
            <w:pPr>
              <w:autoSpaceDE w:val="0"/>
              <w:autoSpaceDN w:val="0"/>
              <w:adjustRightInd w:val="0"/>
              <w:rPr>
                <w:rFonts w:ascii="Arial" w:hAnsi="Arial" w:cs="Arial"/>
                <w:b/>
                <w:sz w:val="18"/>
                <w:szCs w:val="18"/>
              </w:rPr>
            </w:pPr>
            <w:r>
              <w:rPr>
                <w:rFonts w:ascii="Arial" w:hAnsi="Arial"/>
                <w:b/>
                <w:sz w:val="18"/>
              </w:rPr>
              <w:t>En un seminario web se presentan las aplicaciones y características de la nueva familia de condensadores WCAP-FTDB, comparándolos con los condensadores electrolíticos de aluminio.</w:t>
            </w:r>
          </w:p>
          <w:p w14:paraId="268D4296" w14:textId="77777777" w:rsidR="00C67BE7" w:rsidRDefault="00C67BE7">
            <w:pPr>
              <w:autoSpaceDE w:val="0"/>
              <w:autoSpaceDN w:val="0"/>
              <w:adjustRightInd w:val="0"/>
              <w:rPr>
                <w:rFonts w:ascii="Arial" w:hAnsi="Arial" w:cs="Arial"/>
                <w:b/>
                <w:bCs/>
                <w:sz w:val="18"/>
                <w:szCs w:val="18"/>
              </w:rPr>
            </w:pPr>
          </w:p>
        </w:tc>
      </w:tr>
    </w:tbl>
    <w:p w14:paraId="7E105254" w14:textId="5F2A25CA" w:rsidR="00C67BE7" w:rsidRDefault="00C67BE7">
      <w:pPr>
        <w:pStyle w:val="BodyText"/>
        <w:spacing w:before="120" w:after="120" w:line="260" w:lineRule="exact"/>
        <w:jc w:val="both"/>
        <w:rPr>
          <w:rFonts w:ascii="Arial" w:hAnsi="Arial"/>
          <w:b w:val="0"/>
          <w:bCs w:val="0"/>
        </w:rPr>
      </w:pPr>
    </w:p>
    <w:p w14:paraId="78CA8A9C" w14:textId="453119E9" w:rsidR="00C56AB6" w:rsidRPr="001E1BD8" w:rsidRDefault="00C56AB6" w:rsidP="00C56AB6">
      <w:pPr>
        <w:rPr>
          <w:rFonts w:ascii="Arial" w:hAnsi="Arial"/>
          <w:b/>
          <w:bCs/>
        </w:rPr>
      </w:pPr>
    </w:p>
    <w:p w14:paraId="3ABF8D29" w14:textId="77777777" w:rsidR="00C56AB6" w:rsidRPr="001E1BD8" w:rsidRDefault="00C56AB6" w:rsidP="00C56AB6">
      <w:pPr>
        <w:pStyle w:val="PITextkrper"/>
        <w:pBdr>
          <w:top w:val="single" w:sz="4" w:space="1" w:color="auto"/>
        </w:pBdr>
        <w:spacing w:before="240"/>
        <w:rPr>
          <w:b/>
          <w:sz w:val="18"/>
          <w:szCs w:val="18"/>
        </w:rPr>
      </w:pPr>
    </w:p>
    <w:p w14:paraId="61973EDA" w14:textId="77777777" w:rsidR="00C56AB6" w:rsidRPr="001E1BD8" w:rsidRDefault="00C56AB6" w:rsidP="00C56AB6">
      <w:pPr>
        <w:pStyle w:val="BodyText"/>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02530CB0" w14:textId="77777777" w:rsidR="00C56AB6" w:rsidRPr="00D52616" w:rsidRDefault="00C56AB6" w:rsidP="00C56AB6">
      <w:pPr>
        <w:pStyle w:val="BodyText"/>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471A6719" w14:textId="77777777" w:rsidR="00C56AB6" w:rsidRDefault="00C56AB6" w:rsidP="00C56AB6">
      <w:pPr>
        <w:pStyle w:val="BodyText"/>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5AF1F589" w14:textId="77777777" w:rsidR="00C56AB6" w:rsidRDefault="00C56AB6" w:rsidP="00C56AB6">
      <w:pPr>
        <w:pStyle w:val="BodyText"/>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F65763E" w14:textId="77777777" w:rsidR="00C56AB6" w:rsidRPr="00A853B3" w:rsidRDefault="00C56AB6" w:rsidP="00C56AB6">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Pr>
          <w:bCs/>
          <w:sz w:val="20"/>
          <w:lang w:val="de-DE" w:eastAsia="x-none"/>
        </w:rPr>
        <w:t>.2</w:t>
      </w:r>
      <w:r w:rsidRPr="004F0020">
        <w:rPr>
          <w:bCs/>
          <w:sz w:val="20"/>
          <w:lang w:val="x-none" w:eastAsia="x-none"/>
        </w:rPr>
        <w:t>00 trabajadores. En el año 202</w:t>
      </w:r>
      <w:r>
        <w:rPr>
          <w:bCs/>
          <w:sz w:val="20"/>
          <w:lang w:val="de-DE" w:eastAsia="x-none"/>
        </w:rPr>
        <w:t>2</w:t>
      </w:r>
      <w:r w:rsidRPr="004F0020">
        <w:rPr>
          <w:bCs/>
          <w:sz w:val="20"/>
          <w:lang w:val="x-none" w:eastAsia="x-none"/>
        </w:rPr>
        <w:t xml:space="preserve">, el grupo Würth Elektronik generó una facturación de </w:t>
      </w:r>
      <w:r w:rsidRPr="00E60A2E">
        <w:rPr>
          <w:bCs/>
          <w:sz w:val="20"/>
          <w:lang w:val="x-none" w:eastAsia="x-none"/>
        </w:rPr>
        <w:t>1</w:t>
      </w:r>
      <w:r>
        <w:rPr>
          <w:bCs/>
          <w:sz w:val="20"/>
          <w:lang w:val="de-DE" w:eastAsia="x-none"/>
        </w:rPr>
        <w:t>.</w:t>
      </w:r>
      <w:r w:rsidRPr="00E60A2E">
        <w:rPr>
          <w:bCs/>
          <w:sz w:val="20"/>
          <w:lang w:val="x-none" w:eastAsia="x-none"/>
        </w:rPr>
        <w:t xml:space="preserve">330 </w:t>
      </w:r>
      <w:r w:rsidRPr="004F0020">
        <w:rPr>
          <w:bCs/>
          <w:sz w:val="20"/>
          <w:lang w:val="x-none" w:eastAsia="x-none"/>
        </w:rPr>
        <w:t>millones de euros.</w:t>
      </w:r>
    </w:p>
    <w:p w14:paraId="4275EA76" w14:textId="77777777" w:rsidR="00C56AB6" w:rsidRPr="001E1BD8" w:rsidRDefault="00C56AB6" w:rsidP="00C56AB6">
      <w:pPr>
        <w:pStyle w:val="BodyText"/>
        <w:spacing w:before="120" w:after="120" w:line="276" w:lineRule="auto"/>
        <w:rPr>
          <w:rFonts w:ascii="Arial" w:hAnsi="Arial"/>
          <w:b w:val="0"/>
        </w:rPr>
      </w:pPr>
      <w:r w:rsidRPr="001E1BD8">
        <w:rPr>
          <w:rFonts w:ascii="Arial" w:hAnsi="Arial"/>
          <w:b w:val="0"/>
        </w:rPr>
        <w:t>Würth Elektronik: more than you expect!</w:t>
      </w:r>
    </w:p>
    <w:p w14:paraId="40B084B6" w14:textId="77777777" w:rsidR="00C56AB6" w:rsidRPr="001E1BD8" w:rsidRDefault="00C56AB6" w:rsidP="00C56AB6">
      <w:pPr>
        <w:pStyle w:val="BodyText"/>
        <w:spacing w:before="120" w:after="120" w:line="276" w:lineRule="auto"/>
        <w:rPr>
          <w:rFonts w:ascii="Arial" w:hAnsi="Arial"/>
        </w:rPr>
      </w:pPr>
      <w:r w:rsidRPr="001E1BD8">
        <w:rPr>
          <w:rFonts w:ascii="Arial" w:hAnsi="Arial"/>
        </w:rPr>
        <w:t>Más información en www.we-online.com</w:t>
      </w:r>
    </w:p>
    <w:p w14:paraId="4EE01DC5" w14:textId="77777777" w:rsidR="00C56AB6" w:rsidRPr="001E1BD8" w:rsidRDefault="00C56AB6" w:rsidP="00C56AB6">
      <w:pPr>
        <w:pStyle w:val="BodyText"/>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56AB6" w:rsidRPr="001E1BD8" w14:paraId="35932A05" w14:textId="77777777" w:rsidTr="009E4FC3">
        <w:tc>
          <w:tcPr>
            <w:tcW w:w="3902" w:type="dxa"/>
            <w:hideMark/>
          </w:tcPr>
          <w:p w14:paraId="06E2FEBD" w14:textId="77777777" w:rsidR="00C56AB6" w:rsidRPr="001E1BD8" w:rsidRDefault="00C56AB6" w:rsidP="009E4FC3">
            <w:pPr>
              <w:pStyle w:val="BodyText"/>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D5348EA" w14:textId="77777777" w:rsidR="00C56AB6" w:rsidRPr="001E1BD8" w:rsidRDefault="00C56AB6" w:rsidP="009E4FC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F2111F3" w14:textId="77777777" w:rsidR="00C56AB6" w:rsidRPr="004F0020" w:rsidRDefault="00C56AB6" w:rsidP="009E4FC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2BA620F" w14:textId="77777777" w:rsidR="00C56AB6" w:rsidRPr="001E1BD8" w:rsidRDefault="00C56AB6" w:rsidP="009E4FC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3509791" w14:textId="77777777" w:rsidR="00C56AB6" w:rsidRPr="001E1BD8" w:rsidRDefault="00C56AB6" w:rsidP="009E4FC3">
            <w:pPr>
              <w:pStyle w:val="BodyText"/>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5D35F69" w14:textId="77777777" w:rsidR="00C56AB6" w:rsidRPr="001E1BD8" w:rsidRDefault="00C56AB6" w:rsidP="009E4FC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8FFFF70" w14:textId="05A18086" w:rsidR="00C56AB6" w:rsidRPr="001E1BD8" w:rsidRDefault="00C56AB6" w:rsidP="009E4FC3">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2FF71952" w14:textId="77777777" w:rsidR="00C56AB6" w:rsidRPr="001E1BD8" w:rsidRDefault="00C56AB6" w:rsidP="009E4FC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9BFC360" w14:textId="77777777" w:rsidR="00C56AB6" w:rsidRPr="001E1BD8" w:rsidRDefault="00C56AB6" w:rsidP="00C56AB6">
      <w:pPr>
        <w:pStyle w:val="BodyText"/>
        <w:spacing w:before="120" w:after="120" w:line="276" w:lineRule="auto"/>
      </w:pPr>
    </w:p>
    <w:p w14:paraId="7CB7379A" w14:textId="77777777" w:rsidR="00C56AB6" w:rsidRPr="001E1BD8" w:rsidRDefault="00C56AB6" w:rsidP="00C56AB6">
      <w:pPr>
        <w:pStyle w:val="BodyText"/>
        <w:spacing w:before="120" w:after="120" w:line="276" w:lineRule="auto"/>
      </w:pPr>
    </w:p>
    <w:p w14:paraId="6EF893F7" w14:textId="77777777" w:rsidR="00C56AB6" w:rsidRDefault="00C56AB6">
      <w:pPr>
        <w:pStyle w:val="BodyText"/>
        <w:spacing w:before="120" w:after="120" w:line="260" w:lineRule="exact"/>
        <w:jc w:val="both"/>
        <w:rPr>
          <w:rFonts w:ascii="Arial" w:hAnsi="Arial"/>
          <w:b w:val="0"/>
          <w:bCs w:val="0"/>
        </w:rPr>
      </w:pPr>
    </w:p>
    <w:sectPr w:rsidR="00C56AB6">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699A" w14:textId="77777777" w:rsidR="00C67BE7" w:rsidRDefault="00C56AB6">
      <w:r>
        <w:separator/>
      </w:r>
    </w:p>
  </w:endnote>
  <w:endnote w:type="continuationSeparator" w:id="0">
    <w:p w14:paraId="0B63A117" w14:textId="77777777" w:rsidR="00C67BE7" w:rsidRDefault="00C5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B4A3" w14:textId="77777777" w:rsidR="00C67BE7" w:rsidRDefault="00C56AB6">
    <w:pPr>
      <w:pStyle w:val="Footer"/>
      <w:tabs>
        <w:tab w:val="clear" w:pos="4536"/>
        <w:tab w:val="clear" w:pos="9072"/>
        <w:tab w:val="right" w:pos="7088"/>
      </w:tabs>
      <w:rPr>
        <w:rFonts w:ascii="Arial" w:hAnsi="Arial" w:cs="Arial"/>
        <w:noProof/>
        <w:snapToGrid w:val="0"/>
        <w:sz w:val="16"/>
        <w:szCs w:val="16"/>
      </w:rPr>
    </w:pPr>
    <w:r>
      <w:rPr>
        <w:rFonts w:ascii="Arial" w:hAnsi="Arial" w:cs="Arial"/>
        <w:snapToGrid w:val="0"/>
        <w:sz w:val="16"/>
      </w:rPr>
      <w:t>WTH1PI1180_es</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93A9" w14:textId="77777777" w:rsidR="00C67BE7" w:rsidRDefault="00C56AB6">
      <w:r>
        <w:separator/>
      </w:r>
    </w:p>
  </w:footnote>
  <w:footnote w:type="continuationSeparator" w:id="0">
    <w:p w14:paraId="11BDDBF4" w14:textId="77777777" w:rsidR="00C67BE7" w:rsidRDefault="00C56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A9AC" w14:textId="77777777" w:rsidR="00C67BE7" w:rsidRDefault="00C56AB6">
    <w:pPr>
      <w:pStyle w:val="Header"/>
      <w:tabs>
        <w:tab w:val="clear" w:pos="9072"/>
        <w:tab w:val="right" w:pos="9498"/>
      </w:tabs>
    </w:pPr>
    <w:r>
      <w:rPr>
        <w:noProof/>
        <w:lang w:eastAsia="zh-TW"/>
      </w:rPr>
      <w:drawing>
        <wp:anchor distT="0" distB="0" distL="114300" distR="114300" simplePos="0" relativeHeight="251657728" behindDoc="1" locked="0" layoutInCell="0" allowOverlap="1" wp14:anchorId="48483902" wp14:editId="15BFD67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83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E7"/>
    <w:rsid w:val="004766CA"/>
    <w:rsid w:val="00966A0C"/>
    <w:rsid w:val="00C56AB6"/>
    <w:rsid w:val="00C67BE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CDE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Pr>
      <w:rFonts w:ascii="Verdana" w:hAnsi="Verdana" w:cs="Arial"/>
      <w:b/>
      <w:bCs/>
    </w:rPr>
  </w:style>
  <w:style w:type="character" w:customStyle="1" w:styleId="Heading1Char">
    <w:name w:val="Heading 1 Char"/>
    <w:link w:val="Heading1"/>
    <w:rPr>
      <w:rFonts w:ascii="Arial" w:hAnsi="Arial" w:cs="Arial"/>
      <w:b/>
      <w:bCs/>
      <w:kern w:val="32"/>
      <w:sz w:val="32"/>
      <w:szCs w:val="32"/>
    </w:rPr>
  </w:style>
  <w:style w:type="paragraph" w:customStyle="1" w:styleId="PITextkrper">
    <w:name w:val="PI_Textkörper"/>
    <w:basedOn w:val="Normal"/>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Normal"/>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Normal"/>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Heading3Char">
    <w:name w:val="Heading 3 Char"/>
    <w:link w:val="Heading3"/>
    <w:semiHidden/>
    <w:rPr>
      <w:rFonts w:ascii="Cambria" w:eastAsia="Times New Roman" w:hAnsi="Cambria" w:cs="Times New Roman"/>
      <w:b/>
      <w:bCs/>
      <w:sz w:val="26"/>
      <w:szCs w:val="26"/>
    </w:rPr>
  </w:style>
  <w:style w:type="paragraph" w:styleId="Revision">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FollowedHyp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71795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08580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929743">
      <w:bodyDiv w:val="1"/>
      <w:marLeft w:val="0"/>
      <w:marRight w:val="0"/>
      <w:marTop w:val="0"/>
      <w:marBottom w:val="0"/>
      <w:divBdr>
        <w:top w:val="none" w:sz="0" w:space="0" w:color="auto"/>
        <w:left w:val="none" w:sz="0" w:space="0" w:color="auto"/>
        <w:bottom w:val="none" w:sz="0" w:space="0" w:color="auto"/>
        <w:right w:val="none" w:sz="0" w:space="0" w:color="auto"/>
      </w:divBdr>
      <w:divsChild>
        <w:div w:id="1721593249">
          <w:marLeft w:val="0"/>
          <w:marRight w:val="0"/>
          <w:marTop w:val="0"/>
          <w:marBottom w:val="0"/>
          <w:divBdr>
            <w:top w:val="none" w:sz="0" w:space="0" w:color="auto"/>
            <w:left w:val="none" w:sz="0" w:space="0" w:color="auto"/>
            <w:bottom w:val="none" w:sz="0" w:space="0" w:color="auto"/>
            <w:right w:val="none" w:sz="0" w:space="0" w:color="auto"/>
          </w:divBdr>
        </w:div>
        <w:div w:id="1756437058">
          <w:marLeft w:val="0"/>
          <w:marRight w:val="0"/>
          <w:marTop w:val="0"/>
          <w:marBottom w:val="0"/>
          <w:divBdr>
            <w:top w:val="none" w:sz="0" w:space="0" w:color="auto"/>
            <w:left w:val="none" w:sz="0" w:space="0" w:color="auto"/>
            <w:bottom w:val="none" w:sz="0" w:space="0" w:color="auto"/>
            <w:right w:val="none" w:sz="0" w:space="0" w:color="auto"/>
          </w:divBdr>
        </w:div>
        <w:div w:id="173731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CAP-FTDB" TargetMode="External"/><Relationship Id="rId13" Type="http://schemas.openxmlformats.org/officeDocument/2006/relationships/hyperlink" Target="https://www.we-online.com/web/de/electronic_components/termine_pbs/webinare_6/einzelne_webinaraufzeichnungen/passive_bauelemente/kondensatoren/anspruchsvolleumgebungsbedingungen_1.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s://www.youtube.com/watch?v=UKJXqoDvGYs&amp;list=PLZJdRX1BvL0z2_-tc-ZSUPC0kd7tyexYd&amp;index=1" TargetMode="External"/><Relationship Id="rId10" Type="http://schemas.openxmlformats.org/officeDocument/2006/relationships/hyperlink" Target="https://redexpert.we-online.com/redexp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6528-1822-40B8-87E9-45A9B97B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4402</Characters>
  <Application>Microsoft Office Word</Application>
  <DocSecurity>0</DocSecurity>
  <Lines>122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2023-03-30T08:08:00Z</dcterms:created>
  <dcterms:modified xsi:type="dcterms:W3CDTF">2023-03-30T08:58:00Z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