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C0F3" w14:textId="77777777" w:rsidR="004F52A1" w:rsidRDefault="00663B7D">
      <w:pPr>
        <w:pStyle w:val="berschrift1"/>
        <w:spacing w:before="720" w:after="720" w:line="260" w:lineRule="exact"/>
        <w:rPr>
          <w:sz w:val="20"/>
        </w:rPr>
      </w:pPr>
      <w:r>
        <w:rPr>
          <w:sz w:val="20"/>
        </w:rPr>
        <w:t>COMUNICATO STAMPA</w:t>
      </w:r>
    </w:p>
    <w:p w14:paraId="0CA73067" w14:textId="77777777" w:rsidR="004F52A1" w:rsidRPr="00FA08EE" w:rsidRDefault="00663B7D">
      <w:pPr>
        <w:pStyle w:val="Kopfzeile"/>
        <w:tabs>
          <w:tab w:val="clear" w:pos="4536"/>
          <w:tab w:val="clear" w:pos="9072"/>
        </w:tabs>
        <w:spacing w:before="360" w:after="360"/>
        <w:rPr>
          <w:rFonts w:ascii="Arial" w:hAnsi="Arial" w:cs="Arial"/>
          <w:b/>
          <w:bCs/>
        </w:rPr>
      </w:pPr>
      <w:r w:rsidRPr="00FA08EE">
        <w:rPr>
          <w:rFonts w:ascii="Arial" w:hAnsi="Arial"/>
          <w:b/>
          <w:bCs/>
        </w:rPr>
        <w:t xml:space="preserve">Würth Elektronik pubblica una Application Note dedicata alla comunicazione senza fili </w:t>
      </w:r>
    </w:p>
    <w:p w14:paraId="04F8984B" w14:textId="77777777" w:rsidR="004F52A1" w:rsidRPr="00FA08EE" w:rsidRDefault="00663B7D">
      <w:pPr>
        <w:pStyle w:val="Kopfzeile"/>
        <w:tabs>
          <w:tab w:val="clear" w:pos="4536"/>
          <w:tab w:val="clear" w:pos="9072"/>
        </w:tabs>
        <w:spacing w:before="360" w:after="360"/>
        <w:rPr>
          <w:rFonts w:ascii="Arial" w:hAnsi="Arial" w:cs="Arial"/>
          <w:b/>
          <w:bCs/>
          <w:sz w:val="36"/>
        </w:rPr>
      </w:pPr>
      <w:r w:rsidRPr="00FA08EE">
        <w:rPr>
          <w:rFonts w:ascii="Arial" w:hAnsi="Arial"/>
          <w:b/>
          <w:bCs/>
          <w:sz w:val="36"/>
        </w:rPr>
        <w:t>Disaccoppiamento di segnali ad alta frequenza da una alimentazione in DC</w:t>
      </w:r>
    </w:p>
    <w:p w14:paraId="4FF7238D" w14:textId="340653EE" w:rsidR="004F52A1" w:rsidRPr="00FA08EE" w:rsidRDefault="00663B7D">
      <w:pPr>
        <w:pStyle w:val="Textkrper"/>
        <w:spacing w:before="120" w:after="120" w:line="260" w:lineRule="exact"/>
        <w:jc w:val="both"/>
        <w:rPr>
          <w:rFonts w:ascii="Arial" w:hAnsi="Arial"/>
        </w:rPr>
      </w:pPr>
      <w:r w:rsidRPr="00FA08EE">
        <w:rPr>
          <w:rFonts w:ascii="Arial" w:hAnsi="Arial"/>
        </w:rPr>
        <w:t xml:space="preserve">Waldenburg (Germania), </w:t>
      </w:r>
      <w:r w:rsidR="00C946DC">
        <w:rPr>
          <w:rFonts w:ascii="Arial" w:hAnsi="Arial"/>
        </w:rPr>
        <w:t>20</w:t>
      </w:r>
      <w:r>
        <w:rPr>
          <w:rFonts w:ascii="Arial" w:hAnsi="Arial"/>
        </w:rPr>
        <w:t xml:space="preserve"> ottobre</w:t>
      </w:r>
      <w:r w:rsidRPr="00FA08EE">
        <w:rPr>
          <w:rFonts w:ascii="Arial" w:hAnsi="Arial"/>
        </w:rPr>
        <w:t xml:space="preserve"> 2022 – Le Application Notes di Würth Elektronik contengono informazioni e validi consigli pratici. Ciò è valido non solo per gli sviluppatori – l’ultima uscita ANP101 (in lingua inglese): </w:t>
      </w:r>
      <w:hyperlink r:id="rId8" w:history="1">
        <w:r>
          <w:rPr>
            <w:rStyle w:val="Hyperlink"/>
            <w:rFonts w:ascii="Arial" w:hAnsi="Arial"/>
          </w:rPr>
          <w:t>RF Gain Block Amplifier with integrated Multilayer Ferrite for Broadband Operation</w:t>
        </w:r>
      </w:hyperlink>
      <w:r>
        <w:rPr>
          <w:rFonts w:ascii="Arial" w:hAnsi="Arial"/>
          <w:color w:val="000000"/>
        </w:rPr>
        <w:t xml:space="preserve"> </w:t>
      </w:r>
      <w:r w:rsidRPr="00FA08EE">
        <w:rPr>
          <w:rFonts w:ascii="Arial" w:hAnsi="Arial"/>
        </w:rPr>
        <w:t>si occupa di come sia possibile ampliare e migliorare le caratteristiche di trasmissione di un amplificatore HF scegliendo i componenti corretti ed ottimizzando il layout.</w:t>
      </w:r>
    </w:p>
    <w:p w14:paraId="571BBBCD" w14:textId="77777777" w:rsidR="004F52A1" w:rsidRPr="00FA08EE" w:rsidRDefault="00663B7D">
      <w:pPr>
        <w:pStyle w:val="Textkrper"/>
        <w:spacing w:before="120" w:after="120" w:line="260" w:lineRule="exact"/>
        <w:jc w:val="both"/>
        <w:rPr>
          <w:rFonts w:ascii="Arial" w:hAnsi="Arial"/>
          <w:b w:val="0"/>
          <w:bCs w:val="0"/>
        </w:rPr>
      </w:pPr>
      <w:r w:rsidRPr="00FA08EE">
        <w:rPr>
          <w:rFonts w:ascii="Arial" w:hAnsi="Arial"/>
          <w:b w:val="0"/>
          <w:bCs w:val="0"/>
        </w:rPr>
        <w:t>Dai sistemi 5G fino ad applicazioni radio e per antenne: oggi la comunicazione senza fili ci accompagna in ogni ambito della vita e se ne registra una forte domanda soprattutto per amplificatori ad alta frequenza progettati per un uso universale. Scegliendo in modo ottimale i componenti passivi è possibile migliorare e ampliare le caratteristiche di trasmissione degli amplificatori già in fase di sviluppo. Un layout ben realizzato ottimizza inoltre il comportamento HF. L’obiettivo è la trasmissione di segnali HF e alimentazione a corrente continua su di un’unica linea senza disturbi o crosstalk. Il componente chiave è l’induttore per il disaccoppiamento dell’alimentazione HF e DC.</w:t>
      </w:r>
    </w:p>
    <w:p w14:paraId="5E0090AC" w14:textId="77777777" w:rsidR="004F52A1" w:rsidRPr="00FA08EE" w:rsidRDefault="00663B7D">
      <w:pPr>
        <w:pStyle w:val="Textkrper"/>
        <w:spacing w:before="120" w:after="120" w:line="260" w:lineRule="exact"/>
        <w:jc w:val="both"/>
        <w:rPr>
          <w:rFonts w:ascii="Arial" w:hAnsi="Arial"/>
          <w:bCs w:val="0"/>
        </w:rPr>
      </w:pPr>
      <w:r w:rsidRPr="00FA08EE">
        <w:rPr>
          <w:rFonts w:ascii="Arial" w:hAnsi="Arial"/>
          <w:bCs w:val="0"/>
        </w:rPr>
        <w:t>Setup di misurazione per la valutazione di alternative circuitali</w:t>
      </w:r>
    </w:p>
    <w:p w14:paraId="56BAF139" w14:textId="77777777" w:rsidR="004F52A1" w:rsidRDefault="00663B7D">
      <w:pPr>
        <w:pStyle w:val="Textkrper"/>
        <w:spacing w:before="120" w:after="120" w:line="260" w:lineRule="exact"/>
        <w:jc w:val="both"/>
        <w:rPr>
          <w:rFonts w:ascii="Arial" w:hAnsi="Arial"/>
          <w:b w:val="0"/>
          <w:bCs w:val="0"/>
        </w:rPr>
      </w:pPr>
      <w:r w:rsidRPr="00FA08EE">
        <w:rPr>
          <w:rFonts w:ascii="Arial" w:hAnsi="Arial"/>
          <w:b w:val="0"/>
          <w:bCs w:val="0"/>
        </w:rPr>
        <w:t xml:space="preserve">Oltre a induttori standard vengono utilizzate anche ferriti multistrato. Gli specialisti di Würth Elektronik hanno realizzato e testato una scheda di valutazione al fine di confrontare e valutare le due alternative. Configurazione e risultati di misurazione sono documentati con precisione nell’Application Note </w:t>
      </w:r>
      <w:bookmarkStart w:id="0" w:name="_Hlk112598134"/>
      <w:r w:rsidRPr="00FA08EE">
        <w:rPr>
          <w:rFonts w:ascii="Arial" w:hAnsi="Arial"/>
          <w:b w:val="0"/>
          <w:bCs w:val="0"/>
        </w:rPr>
        <w:t>NP101</w:t>
      </w:r>
      <w:bookmarkEnd w:id="0"/>
      <w:r w:rsidRPr="00FA08EE">
        <w:rPr>
          <w:rFonts w:ascii="Arial" w:hAnsi="Arial"/>
          <w:b w:val="0"/>
          <w:bCs w:val="0"/>
        </w:rPr>
        <w:t xml:space="preserve">, che contiene inoltre considerazioni sulla progettazione circuitale e consigli per una regolazione ottimale dei parametri attraverso due esempi di amplificatori HF. Viene inoltre descritto come scegliere in modo mirato la componentistica con lo </w:t>
      </w:r>
      <w:r>
        <w:rPr>
          <w:rFonts w:ascii="Arial" w:hAnsi="Arial"/>
          <w:b w:val="0"/>
          <w:bCs w:val="0"/>
        </w:rPr>
        <w:t xml:space="preserve">strumento di simulazione online </w:t>
      </w:r>
      <w:hyperlink r:id="rId9" w:history="1">
        <w:r>
          <w:rPr>
            <w:rStyle w:val="Hyperlink"/>
            <w:rFonts w:ascii="Arial" w:hAnsi="Arial"/>
            <w:b w:val="0"/>
            <w:bCs w:val="0"/>
          </w:rPr>
          <w:t>REDEXPERT</w:t>
        </w:r>
      </w:hyperlink>
      <w:r>
        <w:rPr>
          <w:rFonts w:ascii="Arial" w:hAnsi="Arial"/>
          <w:b w:val="0"/>
          <w:bCs w:val="0"/>
        </w:rPr>
        <w:t xml:space="preserve"> </w:t>
      </w:r>
      <w:r w:rsidRPr="00FA08EE">
        <w:rPr>
          <w:rFonts w:ascii="Arial" w:hAnsi="Arial"/>
          <w:b w:val="0"/>
          <w:bCs w:val="0"/>
        </w:rPr>
        <w:t>di Würth Elektronik o dimensionare correttamente il condensatore di blocco per la DC.</w:t>
      </w:r>
    </w:p>
    <w:p w14:paraId="5CC4F045" w14:textId="77777777" w:rsidR="004F52A1" w:rsidRDefault="00663B7D">
      <w:pPr>
        <w:pStyle w:val="Textkrper"/>
        <w:spacing w:before="120" w:after="120" w:line="260" w:lineRule="exact"/>
        <w:rPr>
          <w:rFonts w:ascii="Arial" w:hAnsi="Arial"/>
          <w:b w:val="0"/>
          <w:bCs w:val="0"/>
        </w:rPr>
      </w:pPr>
      <w:r>
        <w:rPr>
          <w:rFonts w:ascii="Arial" w:hAnsi="Arial"/>
          <w:b w:val="0"/>
          <w:bCs w:val="0"/>
        </w:rPr>
        <w:t>L’Application Note</w:t>
      </w:r>
      <w:r>
        <w:t xml:space="preserve"> </w:t>
      </w:r>
      <w:r>
        <w:rPr>
          <w:rFonts w:ascii="Arial" w:hAnsi="Arial"/>
          <w:b w:val="0"/>
          <w:bCs w:val="0"/>
        </w:rPr>
        <w:t xml:space="preserve">ANP101 è disponibile al link </w:t>
      </w:r>
      <w:hyperlink r:id="rId10" w:history="1">
        <w:r>
          <w:rPr>
            <w:rStyle w:val="Hyperlink"/>
            <w:rFonts w:ascii="Arial" w:hAnsi="Arial"/>
            <w:b w:val="0"/>
            <w:bCs w:val="0"/>
          </w:rPr>
          <w:t>http://www.we-online.com/ANP101</w:t>
        </w:r>
      </w:hyperlink>
      <w:r>
        <w:rPr>
          <w:rFonts w:ascii="Arial" w:hAnsi="Arial"/>
          <w:b w:val="0"/>
          <w:bCs w:val="0"/>
        </w:rPr>
        <w:t>.</w:t>
      </w:r>
      <w:r>
        <w:rPr>
          <w:rFonts w:ascii="Arial" w:hAnsi="Arial"/>
          <w:b w:val="0"/>
          <w:bCs w:val="0"/>
        </w:rPr>
        <w:br/>
      </w:r>
    </w:p>
    <w:p w14:paraId="0A427BBC" w14:textId="77777777" w:rsidR="004F52A1" w:rsidRDefault="00663B7D">
      <w:pPr>
        <w:rPr>
          <w:rFonts w:ascii="Arial" w:hAnsi="Arial" w:cs="Arial"/>
          <w:sz w:val="20"/>
          <w:szCs w:val="20"/>
        </w:rPr>
      </w:pPr>
      <w:r>
        <w:br w:type="page"/>
      </w:r>
    </w:p>
    <w:p w14:paraId="339187A8" w14:textId="77777777" w:rsidR="004F52A1" w:rsidRDefault="004F52A1">
      <w:pPr>
        <w:pStyle w:val="Textkrper"/>
        <w:spacing w:before="120" w:after="120" w:line="260" w:lineRule="exact"/>
        <w:jc w:val="both"/>
        <w:rPr>
          <w:rFonts w:ascii="Arial" w:hAnsi="Arial"/>
          <w:b w:val="0"/>
          <w:bCs w:val="0"/>
        </w:rPr>
      </w:pPr>
    </w:p>
    <w:p w14:paraId="710DFFE3" w14:textId="77777777" w:rsidR="004F52A1" w:rsidRDefault="004F52A1">
      <w:pPr>
        <w:pStyle w:val="PITextkrper"/>
        <w:pBdr>
          <w:top w:val="single" w:sz="4" w:space="1" w:color="auto"/>
        </w:pBdr>
        <w:spacing w:before="240"/>
        <w:rPr>
          <w:b/>
          <w:sz w:val="18"/>
          <w:szCs w:val="18"/>
        </w:rPr>
      </w:pPr>
    </w:p>
    <w:p w14:paraId="47C5113B" w14:textId="77777777" w:rsidR="00FF4448" w:rsidRPr="004D044E" w:rsidRDefault="00FF4448" w:rsidP="00FF4448">
      <w:pPr>
        <w:spacing w:after="120" w:line="280" w:lineRule="exact"/>
        <w:rPr>
          <w:rFonts w:ascii="Arial" w:hAnsi="Arial" w:cs="Arial"/>
          <w:b/>
          <w:bCs/>
          <w:sz w:val="18"/>
          <w:szCs w:val="18"/>
        </w:rPr>
      </w:pPr>
      <w:r>
        <w:rPr>
          <w:rFonts w:ascii="Arial" w:hAnsi="Arial"/>
          <w:b/>
          <w:sz w:val="18"/>
        </w:rPr>
        <w:t>Immagini disponibili</w:t>
      </w:r>
    </w:p>
    <w:p w14:paraId="6E32E012" w14:textId="77777777" w:rsidR="00FF4448" w:rsidRPr="004D044E" w:rsidRDefault="00FF4448" w:rsidP="00FF4448">
      <w:pPr>
        <w:spacing w:after="120" w:line="280" w:lineRule="exact"/>
        <w:rPr>
          <w:b/>
          <w:sz w:val="18"/>
          <w:szCs w:val="18"/>
        </w:rPr>
      </w:pPr>
      <w:r>
        <w:rPr>
          <w:rFonts w:ascii="Arial" w:hAnsi="Arial"/>
          <w:sz w:val="18"/>
        </w:rPr>
        <w:t>Le seguenti immagini possono essere scaricate da internet e stampate:</w:t>
      </w:r>
      <w:r>
        <w:t xml:space="preserve"> </w:t>
      </w:r>
      <w:hyperlink r:id="rId11"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F52A1" w14:paraId="077E1E50" w14:textId="77777777">
        <w:trPr>
          <w:trHeight w:val="1701"/>
        </w:trPr>
        <w:tc>
          <w:tcPr>
            <w:tcW w:w="3510" w:type="dxa"/>
          </w:tcPr>
          <w:p w14:paraId="4B6FF25B" w14:textId="77777777" w:rsidR="004F52A1" w:rsidRDefault="00663B7D">
            <w:pPr>
              <w:pStyle w:val="txt"/>
              <w:rPr>
                <w:b/>
                <w:bCs/>
                <w:sz w:val="18"/>
              </w:rPr>
            </w:pPr>
            <w:r>
              <w:rPr>
                <w:b/>
              </w:rPr>
              <w:br/>
            </w:r>
            <w:r>
              <w:rPr>
                <w:noProof/>
                <w:lang w:val="en-US" w:eastAsia="zh-CN"/>
              </w:rPr>
              <w:drawing>
                <wp:inline distT="0" distB="0" distL="0" distR="0" wp14:anchorId="3F40E1E3" wp14:editId="372698E8">
                  <wp:extent cx="1933387"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387" cy="1296000"/>
                          </a:xfrm>
                          <a:prstGeom prst="rect">
                            <a:avLst/>
                          </a:prstGeom>
                          <a:noFill/>
                          <a:ln>
                            <a:noFill/>
                          </a:ln>
                        </pic:spPr>
                      </pic:pic>
                    </a:graphicData>
                  </a:graphic>
                </wp:inline>
              </w:drawing>
            </w:r>
            <w:r>
              <w:rPr>
                <w:b/>
                <w:bCs/>
                <w:sz w:val="18"/>
              </w:rPr>
              <w:br/>
            </w:r>
            <w:r>
              <w:rPr>
                <w:bCs/>
                <w:sz w:val="16"/>
                <w:szCs w:val="16"/>
              </w:rPr>
              <w:t xml:space="preserve">Foto di: Würth Elektronik </w:t>
            </w:r>
          </w:p>
          <w:p w14:paraId="20B15C09" w14:textId="77777777" w:rsidR="004F52A1" w:rsidRDefault="00663B7D">
            <w:pPr>
              <w:autoSpaceDE w:val="0"/>
              <w:autoSpaceDN w:val="0"/>
              <w:adjustRightInd w:val="0"/>
              <w:rPr>
                <w:rFonts w:ascii="Arial" w:hAnsi="Arial" w:cs="Arial"/>
                <w:b/>
                <w:sz w:val="18"/>
                <w:szCs w:val="18"/>
              </w:rPr>
            </w:pPr>
            <w:r>
              <w:rPr>
                <w:rFonts w:ascii="Arial" w:hAnsi="Arial"/>
                <w:b/>
                <w:sz w:val="18"/>
                <w:szCs w:val="18"/>
              </w:rPr>
              <w:t>Conoscenze avanzate per sviluppatori HF: Application Note ANP101 Würth Elektronik</w:t>
            </w:r>
          </w:p>
          <w:p w14:paraId="4F2489FA" w14:textId="77777777" w:rsidR="004F52A1" w:rsidRDefault="004F52A1">
            <w:pPr>
              <w:autoSpaceDE w:val="0"/>
              <w:autoSpaceDN w:val="0"/>
              <w:adjustRightInd w:val="0"/>
              <w:rPr>
                <w:rFonts w:ascii="Arial" w:hAnsi="Arial" w:cs="Arial"/>
                <w:b/>
                <w:bCs/>
                <w:sz w:val="18"/>
                <w:szCs w:val="18"/>
              </w:rPr>
            </w:pPr>
          </w:p>
        </w:tc>
        <w:tc>
          <w:tcPr>
            <w:tcW w:w="3510" w:type="dxa"/>
          </w:tcPr>
          <w:p w14:paraId="47CE2B50" w14:textId="77777777" w:rsidR="004F52A1" w:rsidRDefault="00663B7D">
            <w:pPr>
              <w:rPr>
                <w:bCs/>
                <w:sz w:val="16"/>
                <w:szCs w:val="16"/>
              </w:rPr>
            </w:pPr>
            <w:r>
              <w:rPr>
                <w:b/>
              </w:rPr>
              <w:br/>
            </w:r>
            <w:r>
              <w:rPr>
                <w:noProof/>
                <w:color w:val="44546A" w:themeColor="text2"/>
                <w:lang w:val="en-US" w:eastAsia="zh-CN"/>
              </w:rPr>
              <w:drawing>
                <wp:inline distT="0" distB="0" distL="0" distR="0" wp14:anchorId="5EC4D525" wp14:editId="4031D69D">
                  <wp:extent cx="2144367" cy="1296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1 (1).jpg"/>
                          <pic:cNvPicPr/>
                        </pic:nvPicPr>
                        <pic:blipFill rotWithShape="1">
                          <a:blip r:embed="rId13" cstate="print">
                            <a:extLst>
                              <a:ext uri="{28A0092B-C50C-407E-A947-70E740481C1C}">
                                <a14:useLocalDpi xmlns:a14="http://schemas.microsoft.com/office/drawing/2010/main" val="0"/>
                              </a:ext>
                            </a:extLst>
                          </a:blip>
                          <a:srcRect l="9351" t="12552" r="9351" b="13965"/>
                          <a:stretch/>
                        </pic:blipFill>
                        <pic:spPr bwMode="auto">
                          <a:xfrm>
                            <a:off x="0" y="0"/>
                            <a:ext cx="2144367" cy="1296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Unicode MS" w:hAnsi="Arial" w:cs="Arial"/>
                <w:bCs/>
                <w:color w:val="000000"/>
                <w:sz w:val="16"/>
                <w:szCs w:val="16"/>
              </w:rPr>
              <w:t>Foto di: Würth Elektronik</w:t>
            </w:r>
          </w:p>
          <w:p w14:paraId="4B6080B1" w14:textId="77777777" w:rsidR="004F52A1" w:rsidRDefault="004F52A1">
            <w:pPr>
              <w:rPr>
                <w:rFonts w:cs="Arial"/>
                <w:color w:val="44546A" w:themeColor="text2"/>
              </w:rPr>
            </w:pPr>
          </w:p>
          <w:p w14:paraId="5035DDF7" w14:textId="77777777" w:rsidR="004F52A1" w:rsidRDefault="00663B7D">
            <w:pPr>
              <w:autoSpaceDE w:val="0"/>
              <w:autoSpaceDN w:val="0"/>
              <w:adjustRightInd w:val="0"/>
              <w:rPr>
                <w:rFonts w:ascii="Arial" w:hAnsi="Arial" w:cs="Arial"/>
                <w:b/>
                <w:sz w:val="18"/>
                <w:szCs w:val="18"/>
              </w:rPr>
            </w:pPr>
            <w:r>
              <w:rPr>
                <w:rFonts w:ascii="Arial" w:hAnsi="Arial"/>
                <w:b/>
                <w:sz w:val="18"/>
                <w:szCs w:val="18"/>
              </w:rPr>
              <w:t>Scheda di valutazione per amplificatore a blocco di guadagno HF: configurazione e risultati di misurazione sono documentati con precisione nell’Application Note</w:t>
            </w:r>
          </w:p>
          <w:p w14:paraId="3D913A80" w14:textId="77777777" w:rsidR="004F52A1" w:rsidRDefault="004F52A1">
            <w:pPr>
              <w:pStyle w:val="txt"/>
              <w:rPr>
                <w:b/>
              </w:rPr>
            </w:pPr>
          </w:p>
        </w:tc>
      </w:tr>
    </w:tbl>
    <w:p w14:paraId="0C5DA66D" w14:textId="77777777" w:rsidR="004F52A1" w:rsidRDefault="004F52A1">
      <w:pPr>
        <w:spacing w:after="120" w:line="280" w:lineRule="exact"/>
        <w:rPr>
          <w:rFonts w:ascii="Arial" w:hAnsi="Arial" w:cs="Arial"/>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4F52A1" w14:paraId="49525CC4" w14:textId="77777777">
        <w:trPr>
          <w:trHeight w:val="1701"/>
        </w:trPr>
        <w:tc>
          <w:tcPr>
            <w:tcW w:w="6979" w:type="dxa"/>
          </w:tcPr>
          <w:p w14:paraId="7FC66262" w14:textId="77777777" w:rsidR="004F52A1" w:rsidRDefault="00663B7D">
            <w:pPr>
              <w:pStyle w:val="txt"/>
              <w:rPr>
                <w:color w:val="44546A" w:themeColor="text2"/>
                <w:sz w:val="22"/>
                <w:szCs w:val="22"/>
              </w:rPr>
            </w:pPr>
            <w:r>
              <w:rPr>
                <w:b/>
              </w:rPr>
              <w:br/>
            </w:r>
            <w:r>
              <w:rPr>
                <w:color w:val="44546A" w:themeColor="text2"/>
              </w:rPr>
              <w:t xml:space="preserve">            </w:t>
            </w:r>
            <w:r>
              <w:rPr>
                <w:noProof/>
                <w:lang w:val="en-US" w:eastAsia="zh-CN"/>
              </w:rPr>
              <w:drawing>
                <wp:inline distT="0" distB="0" distL="0" distR="0" wp14:anchorId="53032DA2" wp14:editId="3BFA8F92">
                  <wp:extent cx="1518609" cy="1296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609" cy="1296000"/>
                          </a:xfrm>
                          <a:prstGeom prst="rect">
                            <a:avLst/>
                          </a:prstGeom>
                          <a:noFill/>
                          <a:ln>
                            <a:noFill/>
                          </a:ln>
                        </pic:spPr>
                      </pic:pic>
                    </a:graphicData>
                  </a:graphic>
                </wp:inline>
              </w:drawing>
            </w:r>
            <w:r>
              <w:rPr>
                <w:color w:val="44546A" w:themeColor="text2"/>
              </w:rPr>
              <w:t xml:space="preserve">           </w:t>
            </w:r>
            <w:r>
              <w:rPr>
                <w:noProof/>
                <w:lang w:val="en-US" w:eastAsia="zh-CN"/>
              </w:rPr>
              <w:drawing>
                <wp:inline distT="0" distB="0" distL="0" distR="0" wp14:anchorId="1662A736" wp14:editId="61B58DEB">
                  <wp:extent cx="1492655" cy="129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655" cy="1296000"/>
                          </a:xfrm>
                          <a:prstGeom prst="rect">
                            <a:avLst/>
                          </a:prstGeom>
                          <a:noFill/>
                          <a:ln>
                            <a:noFill/>
                          </a:ln>
                        </pic:spPr>
                      </pic:pic>
                    </a:graphicData>
                  </a:graphic>
                </wp:inline>
              </w:drawing>
            </w:r>
          </w:p>
          <w:p w14:paraId="78B9520B" w14:textId="77777777" w:rsidR="004F52A1" w:rsidRDefault="00663B7D">
            <w:pPr>
              <w:pStyle w:val="txt"/>
              <w:rPr>
                <w:b/>
                <w:bCs/>
                <w:sz w:val="18"/>
              </w:rPr>
            </w:pPr>
            <w:r>
              <w:rPr>
                <w:bCs/>
                <w:sz w:val="16"/>
                <w:szCs w:val="16"/>
              </w:rPr>
              <w:t xml:space="preserve">Foto di: Würth Elektronik </w:t>
            </w:r>
          </w:p>
          <w:p w14:paraId="788D675B" w14:textId="77777777" w:rsidR="004F52A1" w:rsidRDefault="00663B7D">
            <w:pPr>
              <w:autoSpaceDE w:val="0"/>
              <w:autoSpaceDN w:val="0"/>
              <w:adjustRightInd w:val="0"/>
              <w:rPr>
                <w:rFonts w:ascii="Arial" w:hAnsi="Arial" w:cs="Arial"/>
                <w:b/>
                <w:sz w:val="18"/>
                <w:szCs w:val="18"/>
              </w:rPr>
            </w:pPr>
            <w:r>
              <w:rPr>
                <w:rFonts w:ascii="Arial" w:hAnsi="Arial"/>
                <w:b/>
                <w:sz w:val="18"/>
                <w:szCs w:val="18"/>
              </w:rPr>
              <w:t>Componenti a confronto: perline in ferrite multistrato WE-CBF HF (a sinistra), induttori in ceramica WE-KI SMT (a destra)</w:t>
            </w:r>
          </w:p>
          <w:p w14:paraId="63C2F588" w14:textId="77777777" w:rsidR="004F52A1" w:rsidRDefault="004F52A1">
            <w:pPr>
              <w:autoSpaceDE w:val="0"/>
              <w:autoSpaceDN w:val="0"/>
              <w:adjustRightInd w:val="0"/>
              <w:rPr>
                <w:rFonts w:ascii="Arial" w:hAnsi="Arial" w:cs="Arial"/>
                <w:b/>
                <w:bCs/>
                <w:sz w:val="18"/>
                <w:szCs w:val="18"/>
              </w:rPr>
            </w:pPr>
          </w:p>
        </w:tc>
      </w:tr>
    </w:tbl>
    <w:p w14:paraId="77BD966E" w14:textId="13905596" w:rsidR="004F52A1" w:rsidRDefault="004F52A1">
      <w:pPr>
        <w:pStyle w:val="PITextkrper"/>
        <w:rPr>
          <w:b/>
          <w:bCs/>
          <w:sz w:val="18"/>
          <w:szCs w:val="18"/>
        </w:rPr>
      </w:pPr>
    </w:p>
    <w:p w14:paraId="05CF30DD" w14:textId="64E6B4F7" w:rsidR="004E17A0" w:rsidRDefault="004E17A0">
      <w:pPr>
        <w:rPr>
          <w:rFonts w:ascii="Arial" w:hAnsi="Arial" w:cs="Arial"/>
          <w:sz w:val="20"/>
          <w:szCs w:val="20"/>
        </w:rPr>
      </w:pPr>
      <w:r>
        <w:rPr>
          <w:rFonts w:ascii="Arial" w:hAnsi="Arial"/>
          <w:b/>
          <w:bCs/>
        </w:rPr>
        <w:br w:type="page"/>
      </w:r>
    </w:p>
    <w:p w14:paraId="01B96131" w14:textId="77777777" w:rsidR="004E17A0" w:rsidRDefault="004E17A0" w:rsidP="004E17A0">
      <w:pPr>
        <w:pStyle w:val="Textkrper"/>
        <w:spacing w:before="120" w:after="120" w:line="260" w:lineRule="exact"/>
        <w:jc w:val="both"/>
        <w:rPr>
          <w:rFonts w:ascii="Arial" w:hAnsi="Arial"/>
          <w:b w:val="0"/>
          <w:bCs w:val="0"/>
        </w:rPr>
      </w:pPr>
    </w:p>
    <w:p w14:paraId="78924AD3" w14:textId="77777777" w:rsidR="004E17A0" w:rsidRPr="004C0F82" w:rsidRDefault="004E17A0" w:rsidP="004E17A0">
      <w:pPr>
        <w:pStyle w:val="PITextkrper"/>
        <w:pBdr>
          <w:top w:val="single" w:sz="4" w:space="1" w:color="auto"/>
        </w:pBdr>
        <w:spacing w:before="240"/>
        <w:rPr>
          <w:b/>
          <w:sz w:val="18"/>
          <w:szCs w:val="18"/>
          <w:lang w:val="de-DE"/>
        </w:rPr>
      </w:pPr>
    </w:p>
    <w:p w14:paraId="1F4D77DE" w14:textId="77777777" w:rsidR="004E17A0" w:rsidRDefault="004E17A0" w:rsidP="004E17A0">
      <w:pPr>
        <w:pStyle w:val="Textkrper"/>
        <w:spacing w:before="120" w:after="120" w:line="276" w:lineRule="auto"/>
        <w:jc w:val="both"/>
        <w:rPr>
          <w:rFonts w:ascii="Arial" w:hAnsi="Arial"/>
        </w:rPr>
      </w:pPr>
      <w:bookmarkStart w:id="1"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1"/>
    <w:p w14:paraId="79FC32D2" w14:textId="77777777" w:rsidR="004E17A0" w:rsidRPr="008228F7" w:rsidRDefault="004E17A0" w:rsidP="004E17A0">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5B36A4D0" w14:textId="77777777" w:rsidR="004E17A0" w:rsidRPr="008228F7" w:rsidRDefault="004E17A0" w:rsidP="004E17A0">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5A5DA996" w14:textId="77777777" w:rsidR="004E17A0" w:rsidRDefault="004E17A0" w:rsidP="004E17A0">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563FBA28" w14:textId="77777777" w:rsidR="004E17A0" w:rsidRDefault="004E17A0" w:rsidP="004E17A0">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2" w:name="_Hlk39740582"/>
      <w:r w:rsidRPr="00661620">
        <w:rPr>
          <w:rFonts w:ascii="Arial" w:hAnsi="Arial"/>
          <w:b w:val="0"/>
          <w:lang w:val="en-US"/>
        </w:rPr>
        <w:t xml:space="preserve">L'azienda offre impiego a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2"/>
    <w:p w14:paraId="65D56220" w14:textId="77777777" w:rsidR="004E17A0" w:rsidRPr="00BB2A0F" w:rsidRDefault="004E17A0" w:rsidP="004E17A0">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46225E69" w14:textId="77777777" w:rsidR="004E17A0" w:rsidRDefault="004E17A0" w:rsidP="004E17A0">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2F8CB47E" w14:textId="77777777" w:rsidR="004E17A0" w:rsidRPr="00212CFC" w:rsidRDefault="004E17A0" w:rsidP="004E17A0">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E17A0" w:rsidRPr="00625C04" w14:paraId="655DD4BB" w14:textId="77777777" w:rsidTr="00C44017">
        <w:tc>
          <w:tcPr>
            <w:tcW w:w="3902" w:type="dxa"/>
            <w:shd w:val="clear" w:color="auto" w:fill="auto"/>
            <w:hideMark/>
          </w:tcPr>
          <w:p w14:paraId="43F51127" w14:textId="77777777" w:rsidR="004E17A0" w:rsidRPr="00A06F99" w:rsidRDefault="004E17A0" w:rsidP="00C44017">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2B9FD4AB" w14:textId="77777777" w:rsidR="004E17A0" w:rsidRPr="00A06F99" w:rsidRDefault="004E17A0" w:rsidP="00C44017">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2DAE733F" w14:textId="77777777" w:rsidR="004E17A0" w:rsidRPr="00A06F99" w:rsidRDefault="004E17A0" w:rsidP="00C44017">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18880A89" w14:textId="77777777" w:rsidR="004E17A0" w:rsidRPr="00625C04" w:rsidRDefault="004E17A0" w:rsidP="00C44017">
            <w:pPr>
              <w:spacing w:before="120" w:after="120" w:line="276" w:lineRule="auto"/>
              <w:rPr>
                <w:rFonts w:ascii="Arial" w:hAnsi="Arial" w:cs="Arial"/>
                <w:bCs/>
                <w:sz w:val="20"/>
              </w:rPr>
            </w:pPr>
            <w:r>
              <w:rPr>
                <w:rFonts w:ascii="Arial" w:hAnsi="Arial"/>
                <w:sz w:val="20"/>
              </w:rPr>
              <w:t>www.we-online.com</w:t>
            </w:r>
          </w:p>
          <w:p w14:paraId="3608EAA9" w14:textId="77777777" w:rsidR="004E17A0" w:rsidRPr="00625C04" w:rsidRDefault="004E17A0" w:rsidP="00C44017">
            <w:pPr>
              <w:spacing w:before="120" w:after="120" w:line="276" w:lineRule="auto"/>
              <w:rPr>
                <w:rFonts w:ascii="Arial" w:hAnsi="Arial" w:cs="Arial"/>
                <w:bCs/>
                <w:sz w:val="20"/>
              </w:rPr>
            </w:pPr>
          </w:p>
        </w:tc>
        <w:tc>
          <w:tcPr>
            <w:tcW w:w="3193" w:type="dxa"/>
            <w:shd w:val="clear" w:color="auto" w:fill="auto"/>
            <w:hideMark/>
          </w:tcPr>
          <w:p w14:paraId="0F1F146A" w14:textId="77777777" w:rsidR="004E17A0" w:rsidRPr="00625C04" w:rsidRDefault="004E17A0" w:rsidP="00C44017">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365ED0C5"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6E7BDA20"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206BDF2F"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BB6EEC9" w14:textId="77777777" w:rsidR="004E17A0" w:rsidRPr="002C689E" w:rsidRDefault="004E17A0" w:rsidP="004E17A0">
      <w:pPr>
        <w:pStyle w:val="Textkrper"/>
        <w:spacing w:before="120" w:after="120" w:line="276" w:lineRule="auto"/>
      </w:pPr>
    </w:p>
    <w:p w14:paraId="23300F7F" w14:textId="77777777" w:rsidR="004E17A0" w:rsidRDefault="004E17A0">
      <w:pPr>
        <w:pStyle w:val="PITextkrper"/>
        <w:rPr>
          <w:b/>
          <w:bCs/>
          <w:sz w:val="18"/>
          <w:szCs w:val="18"/>
        </w:rPr>
      </w:pPr>
    </w:p>
    <w:sectPr w:rsidR="004E17A0">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0578" w14:textId="77777777" w:rsidR="004F52A1" w:rsidRDefault="00663B7D">
      <w:r>
        <w:separator/>
      </w:r>
    </w:p>
  </w:endnote>
  <w:endnote w:type="continuationSeparator" w:id="0">
    <w:p w14:paraId="7EBD12EB" w14:textId="77777777" w:rsidR="004F52A1" w:rsidRDefault="0066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99A" w14:textId="77777777" w:rsidR="004F52A1" w:rsidRDefault="00663B7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WTH1PI1128_it.docx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5F45" w14:textId="77777777" w:rsidR="004F52A1" w:rsidRDefault="00663B7D">
      <w:r>
        <w:separator/>
      </w:r>
    </w:p>
  </w:footnote>
  <w:footnote w:type="continuationSeparator" w:id="0">
    <w:p w14:paraId="118EEA8D" w14:textId="77777777" w:rsidR="004F52A1" w:rsidRDefault="0066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3DA7" w14:textId="77777777" w:rsidR="004F52A1" w:rsidRDefault="00663B7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7D2198D" wp14:editId="422AFE1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2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A1"/>
    <w:rsid w:val="004E17A0"/>
    <w:rsid w:val="004F52A1"/>
    <w:rsid w:val="00663B7D"/>
    <w:rsid w:val="007C1E76"/>
    <w:rsid w:val="0099705E"/>
    <w:rsid w:val="00C946DC"/>
    <w:rsid w:val="00FA08EE"/>
    <w:rsid w:val="00FF444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DF2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246142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ANP10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online.com/ANP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web/en/electronic_components/produkte_pb/produktinnovationen/redexpert.php"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4A79-4DF8-4270-B4BF-E642401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5067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2022-10-18T13:46:00Z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