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BEB1AD" w14:textId="3D7E4FB8" w:rsidR="00B91AA0" w:rsidRPr="002C379C" w:rsidRDefault="00A00994" w:rsidP="008C4B6D">
      <w:pPr>
        <w:pStyle w:val="Presseinformation"/>
        <w:spacing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E8F146" wp14:editId="5C144034">
            <wp:simplePos x="0" y="0"/>
            <wp:positionH relativeFrom="column">
              <wp:posOffset>4939665</wp:posOffset>
            </wp:positionH>
            <wp:positionV relativeFrom="paragraph">
              <wp:posOffset>546735</wp:posOffset>
            </wp:positionV>
            <wp:extent cx="1160378" cy="900000"/>
            <wp:effectExtent l="0" t="0" r="190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37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AA0" w:rsidRPr="002C379C">
        <w:t>Medieninformation</w:t>
      </w:r>
    </w:p>
    <w:p w14:paraId="4DB30440" w14:textId="52D6724F" w:rsidR="00B91AA0" w:rsidRPr="00D55E76" w:rsidRDefault="00943884" w:rsidP="008C4B6D">
      <w:pPr>
        <w:pStyle w:val="PIHeadline"/>
        <w:spacing w:line="276" w:lineRule="auto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 xml:space="preserve">IT-Services </w:t>
      </w:r>
      <w:r w:rsidR="00D55E76">
        <w:rPr>
          <w:rFonts w:eastAsia="Times New Roman"/>
          <w:bCs/>
          <w:sz w:val="28"/>
        </w:rPr>
        <w:t>gegen physische und Cyber-Attacken</w:t>
      </w:r>
    </w:p>
    <w:p w14:paraId="7F1F1D0C" w14:textId="07EC1A3E" w:rsidR="00F019CD" w:rsidRPr="00F019CD" w:rsidRDefault="00A00994" w:rsidP="009B67DA">
      <w:pPr>
        <w:pStyle w:val="PIHeadline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AD80B" wp14:editId="2F02E403">
                <wp:simplePos x="0" y="0"/>
                <wp:positionH relativeFrom="column">
                  <wp:posOffset>4815840</wp:posOffset>
                </wp:positionH>
                <wp:positionV relativeFrom="paragraph">
                  <wp:posOffset>253365</wp:posOffset>
                </wp:positionV>
                <wp:extent cx="1400175" cy="352425"/>
                <wp:effectExtent l="0" t="0" r="9525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F6770" w14:textId="74A9744D" w:rsidR="00E03D6A" w:rsidRPr="001D2D3B" w:rsidRDefault="00E03D6A" w:rsidP="00E03D6A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25.–27. Oktober 2022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br/>
                            </w:r>
                            <w:r w:rsidR="00E65AC8" w:rsidRPr="002B32AD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Halle </w:t>
                            </w:r>
                            <w:r w:rsidR="005354E7" w:rsidRPr="002B32AD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7, Stand </w:t>
                            </w:r>
                            <w:r w:rsidR="004A7C28" w:rsidRPr="002B32AD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7-</w:t>
                            </w:r>
                            <w:r w:rsidR="005354E7" w:rsidRPr="002B32AD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112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AD80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9.2pt;margin-top:19.95pt;width:110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" stroked="f">
                <v:textbox>
                  <w:txbxContent>
                    <w:p w14:paraId="43FF6770" w14:textId="74A9744D" w:rsidR="00E03D6A" w:rsidRPr="001D2D3B" w:rsidRDefault="00E03D6A" w:rsidP="00E03D6A">
                      <w:pPr>
                        <w:jc w:val="center"/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>25.–27. Oktober 2022</w:t>
                      </w: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br/>
                      </w:r>
                      <w:r w:rsidR="00E65AC8" w:rsidRPr="002B32AD"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Halle </w:t>
                      </w:r>
                      <w:r w:rsidR="005354E7" w:rsidRPr="002B32AD">
                        <w:rPr>
                          <w:b/>
                          <w:sz w:val="18"/>
                          <w:szCs w:val="18"/>
                          <w:lang w:val="de-DE"/>
                        </w:rPr>
                        <w:t xml:space="preserve">7, Stand </w:t>
                      </w:r>
                      <w:r w:rsidR="004A7C28" w:rsidRPr="002B32AD">
                        <w:rPr>
                          <w:b/>
                          <w:sz w:val="18"/>
                          <w:szCs w:val="18"/>
                          <w:lang w:val="de-DE"/>
                        </w:rPr>
                        <w:t>7-</w:t>
                      </w:r>
                      <w:r w:rsidR="005354E7" w:rsidRPr="002B32AD">
                        <w:rPr>
                          <w:b/>
                          <w:sz w:val="18"/>
                          <w:szCs w:val="18"/>
                          <w:lang w:val="de-DE"/>
                        </w:rPr>
                        <w:t>112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F019CD">
        <w:t>n</w:t>
      </w:r>
      <w:r w:rsidR="00F019CD" w:rsidRPr="00F019CD">
        <w:t>oris</w:t>
      </w:r>
      <w:proofErr w:type="spellEnd"/>
      <w:r w:rsidR="00F019CD" w:rsidRPr="00F019CD">
        <w:t xml:space="preserve"> network auf der it-sa</w:t>
      </w:r>
      <w:r w:rsidR="00F019CD">
        <w:t xml:space="preserve"> 2022: Sicherheit </w:t>
      </w:r>
      <w:r w:rsidR="002C379C">
        <w:t>im Zeichen der Cloud</w:t>
      </w:r>
    </w:p>
    <w:p w14:paraId="6C5D6B6E" w14:textId="23168D74" w:rsidR="00C033B3" w:rsidRDefault="00B91AA0" w:rsidP="009B67DA">
      <w:pPr>
        <w:pStyle w:val="PILead"/>
        <w:spacing w:line="276" w:lineRule="auto"/>
      </w:pPr>
      <w:r w:rsidRPr="00E60C94">
        <w:t xml:space="preserve">Nürnberg, </w:t>
      </w:r>
      <w:r w:rsidR="001307A0" w:rsidRPr="001307A0">
        <w:t>11</w:t>
      </w:r>
      <w:r w:rsidRPr="001307A0">
        <w:t xml:space="preserve">. </w:t>
      </w:r>
      <w:r w:rsidR="001307A0" w:rsidRPr="001307A0">
        <w:t>Oktober</w:t>
      </w:r>
      <w:r w:rsidRPr="001307A0">
        <w:t xml:space="preserve"> 20</w:t>
      </w:r>
      <w:r w:rsidR="00557661" w:rsidRPr="001307A0">
        <w:t>2</w:t>
      </w:r>
      <w:r w:rsidR="000A561C" w:rsidRPr="001307A0">
        <w:t>2</w:t>
      </w:r>
      <w:r w:rsidRPr="00E60C94">
        <w:t xml:space="preserve"> – </w:t>
      </w:r>
      <w:proofErr w:type="spellStart"/>
      <w:r w:rsidR="00E60C94" w:rsidRPr="00E60C94">
        <w:t>noris</w:t>
      </w:r>
      <w:proofErr w:type="spellEnd"/>
      <w:r w:rsidR="00E60C94" w:rsidRPr="00E60C94">
        <w:t xml:space="preserve"> network, Betreiber von hochsicheren Rechenzentren mit Standorten in Nürnberg, München und Hof</w:t>
      </w:r>
      <w:r w:rsidR="00744A2D">
        <w:t>,</w:t>
      </w:r>
      <w:r w:rsidR="00E60C94" w:rsidRPr="00E60C94">
        <w:t xml:space="preserve"> </w:t>
      </w:r>
      <w:r w:rsidR="0005582F">
        <w:t xml:space="preserve">wird </w:t>
      </w:r>
      <w:r w:rsidR="009153E5">
        <w:t xml:space="preserve">auf der </w:t>
      </w:r>
      <w:r w:rsidR="00E60C94">
        <w:t xml:space="preserve">IT-Security-Fachmesse </w:t>
      </w:r>
      <w:r w:rsidR="009153E5">
        <w:t>it-sa 2022</w:t>
      </w:r>
      <w:r w:rsidR="00C033B3">
        <w:t xml:space="preserve"> vom 25. bis 27. Oktober 2022</w:t>
      </w:r>
      <w:r w:rsidR="00E60C94">
        <w:t xml:space="preserve"> </w:t>
      </w:r>
      <w:r w:rsidR="0005582F">
        <w:t xml:space="preserve">sein umfangreiches </w:t>
      </w:r>
      <w:r w:rsidR="00892D08">
        <w:t>Service- und Lösungs</w:t>
      </w:r>
      <w:r w:rsidR="0005582F">
        <w:t>portfolio</w:t>
      </w:r>
      <w:r w:rsidR="00E60C94">
        <w:t xml:space="preserve"> </w:t>
      </w:r>
      <w:r w:rsidR="0005582F">
        <w:t>präsentieren</w:t>
      </w:r>
      <w:r w:rsidR="00E60C94">
        <w:t>.</w:t>
      </w:r>
      <w:r w:rsidR="00576949">
        <w:t xml:space="preserve"> Im Mittelpunkt stehen </w:t>
      </w:r>
      <w:r w:rsidR="00892D08">
        <w:t>Angebote</w:t>
      </w:r>
      <w:r w:rsidR="00576949">
        <w:t xml:space="preserve"> für die </w:t>
      </w:r>
      <w:r w:rsidR="00892D08">
        <w:t xml:space="preserve">IT-Sicherheit </w:t>
      </w:r>
      <w:r w:rsidR="0049461E">
        <w:t xml:space="preserve">in Unternehmen aus dem Enterprise-Segment im </w:t>
      </w:r>
      <w:proofErr w:type="gramStart"/>
      <w:r w:rsidR="0049461E">
        <w:t>allgemeinen</w:t>
      </w:r>
      <w:proofErr w:type="gramEnd"/>
      <w:r w:rsidR="0049461E">
        <w:t xml:space="preserve">, aber auch speziell aus der Finance-Branche </w:t>
      </w:r>
      <w:r w:rsidR="00892D08">
        <w:t>sowie</w:t>
      </w:r>
      <w:r w:rsidR="00576949">
        <w:t xml:space="preserve"> </w:t>
      </w:r>
      <w:r w:rsidR="0049461E">
        <w:t xml:space="preserve">dem </w:t>
      </w:r>
      <w:r w:rsidR="00892D08">
        <w:t>Öffentlicher Sektor</w:t>
      </w:r>
      <w:r w:rsidR="00576949">
        <w:t>.</w:t>
      </w:r>
    </w:p>
    <w:p w14:paraId="186EBF60" w14:textId="6D8769BA" w:rsidR="00E74E18" w:rsidRDefault="00154710" w:rsidP="009B67DA">
      <w:pPr>
        <w:suppressAutoHyphens/>
        <w:spacing w:line="276" w:lineRule="auto"/>
        <w:jc w:val="both"/>
      </w:pPr>
      <w:r>
        <w:rPr>
          <w:lang w:val="de-DE"/>
        </w:rPr>
        <w:t>„</w:t>
      </w:r>
      <w:r w:rsidR="00BC2B85">
        <w:rPr>
          <w:lang w:val="de-DE"/>
        </w:rPr>
        <w:t xml:space="preserve">Sicherheit </w:t>
      </w:r>
      <w:r w:rsidR="00892D08">
        <w:rPr>
          <w:lang w:val="de-DE"/>
        </w:rPr>
        <w:t>bestimmt</w:t>
      </w:r>
      <w:r w:rsidR="00BC2B85">
        <w:rPr>
          <w:lang w:val="de-DE"/>
        </w:rPr>
        <w:t xml:space="preserve"> unser Geschäft</w:t>
      </w:r>
      <w:r w:rsidR="007D471F">
        <w:rPr>
          <w:lang w:val="de-DE"/>
        </w:rPr>
        <w:t xml:space="preserve">. </w:t>
      </w:r>
      <w:r w:rsidR="000E20D8">
        <w:rPr>
          <w:lang w:val="de-DE"/>
        </w:rPr>
        <w:t>Die</w:t>
      </w:r>
      <w:r w:rsidR="00892D08">
        <w:t xml:space="preserve"> </w:t>
      </w:r>
      <w:r w:rsidR="00C033B3">
        <w:t xml:space="preserve">it-sa </w:t>
      </w:r>
      <w:r w:rsidR="000E20D8">
        <w:t xml:space="preserve">ist </w:t>
      </w:r>
      <w:r w:rsidR="00C033B3">
        <w:t xml:space="preserve">die perfekte </w:t>
      </w:r>
      <w:r w:rsidR="00892D08">
        <w:t>Gelegenheit</w:t>
      </w:r>
      <w:r w:rsidR="00C033B3">
        <w:t>, unser</w:t>
      </w:r>
      <w:r w:rsidR="00576949">
        <w:t xml:space="preserve"> Angebot an hochsicheren Lösungen </w:t>
      </w:r>
      <w:r w:rsidR="00BC2B85">
        <w:t xml:space="preserve">und </w:t>
      </w:r>
      <w:r w:rsidR="000E20D8">
        <w:t xml:space="preserve">entsprechenden </w:t>
      </w:r>
      <w:r w:rsidR="00BC2B85">
        <w:t xml:space="preserve">Dienstleistungen einem breiten Fachpublikum </w:t>
      </w:r>
      <w:r w:rsidR="00576949">
        <w:t>vorzustellen</w:t>
      </w:r>
      <w:r w:rsidR="00C033B3">
        <w:t xml:space="preserve">“, erklärt </w:t>
      </w:r>
      <w:r w:rsidR="002B32AD" w:rsidRPr="002B32AD">
        <w:t xml:space="preserve">Bernhard Göth, Head </w:t>
      </w:r>
      <w:proofErr w:type="spellStart"/>
      <w:r w:rsidR="002B32AD" w:rsidRPr="002B32AD">
        <w:t>of</w:t>
      </w:r>
      <w:proofErr w:type="spellEnd"/>
      <w:r w:rsidR="002B32AD" w:rsidRPr="002B32AD">
        <w:t xml:space="preserve"> Sales</w:t>
      </w:r>
      <w:r w:rsidR="00C033B3">
        <w:t xml:space="preserve"> bei</w:t>
      </w:r>
      <w:r w:rsidR="004A7C28">
        <w:t xml:space="preserve"> </w:t>
      </w:r>
      <w:proofErr w:type="spellStart"/>
      <w:r w:rsidR="00C033B3">
        <w:t>noris</w:t>
      </w:r>
      <w:proofErr w:type="spellEnd"/>
      <w:r w:rsidR="00C033B3">
        <w:t xml:space="preserve"> network</w:t>
      </w:r>
      <w:r w:rsidR="004A7C28">
        <w:t xml:space="preserve"> AG</w:t>
      </w:r>
      <w:r w:rsidR="00C033B3">
        <w:t xml:space="preserve">. Der </w:t>
      </w:r>
      <w:r w:rsidR="00576949">
        <w:t>Betreiber von Hochsicherheitsrechenzentren</w:t>
      </w:r>
      <w:r w:rsidR="00C033B3">
        <w:t xml:space="preserve"> </w:t>
      </w:r>
      <w:r w:rsidR="006F1861">
        <w:t>mit Standorten in Deutschland informiert</w:t>
      </w:r>
      <w:r w:rsidR="00C033B3">
        <w:t xml:space="preserve"> </w:t>
      </w:r>
      <w:r w:rsidR="006F1861">
        <w:t>auf der</w:t>
      </w:r>
      <w:r w:rsidR="007D471F">
        <w:t xml:space="preserve"> IT-Security-Fachmesse in Nürnberg </w:t>
      </w:r>
      <w:r w:rsidR="006F1861">
        <w:t>unter anderem darüber, welche</w:t>
      </w:r>
      <w:r w:rsidR="00744A2D">
        <w:t xml:space="preserve"> </w:t>
      </w:r>
      <w:r w:rsidR="006F1861">
        <w:t xml:space="preserve">Rolle gesetzliche und regulatorische Auflagen wie MaRisk und BAIT für </w:t>
      </w:r>
      <w:r w:rsidR="00E74E18">
        <w:t>Organisationen aus dem Finanzsektor</w:t>
      </w:r>
      <w:r w:rsidR="006F1861">
        <w:t xml:space="preserve"> spielen und wie sich </w:t>
      </w:r>
      <w:r w:rsidR="00744A2D">
        <w:t xml:space="preserve">die hohen Anforderungen aus dem </w:t>
      </w:r>
      <w:r w:rsidR="006F1861">
        <w:t>IT-Grundschutz</w:t>
      </w:r>
      <w:r w:rsidR="00744A2D">
        <w:t xml:space="preserve"> des BSI</w:t>
      </w:r>
      <w:r w:rsidR="006F1861">
        <w:t xml:space="preserve">, </w:t>
      </w:r>
      <w:r w:rsidR="00744A2D">
        <w:t xml:space="preserve">dem Standard </w:t>
      </w:r>
      <w:r w:rsidR="006F1861">
        <w:t>ISAE 3402 und</w:t>
      </w:r>
      <w:r w:rsidR="00744A2D">
        <w:t xml:space="preserve"> </w:t>
      </w:r>
      <w:r w:rsidR="00AA4078">
        <w:t>die Bedarfe</w:t>
      </w:r>
      <w:r w:rsidR="006F1861">
        <w:t xml:space="preserve"> </w:t>
      </w:r>
      <w:r w:rsidR="00744A2D">
        <w:t>für kritische Infrastrukturen (</w:t>
      </w:r>
      <w:r w:rsidR="006F1861">
        <w:t>KRITIS</w:t>
      </w:r>
      <w:r w:rsidR="00744A2D">
        <w:t>)</w:t>
      </w:r>
      <w:r w:rsidR="006F1861">
        <w:t xml:space="preserve"> </w:t>
      </w:r>
      <w:r w:rsidR="000E20D8">
        <w:t xml:space="preserve">auditfähig </w:t>
      </w:r>
      <w:r w:rsidR="006F1861">
        <w:t xml:space="preserve">umsetzen lassen. </w:t>
      </w:r>
      <w:r w:rsidR="00BB0B79">
        <w:t>Besucher der it-sa erfahren d</w:t>
      </w:r>
      <w:r w:rsidR="00620928">
        <w:t>arüber hinaus</w:t>
      </w:r>
      <w:r w:rsidR="00BB0B79">
        <w:t>,</w:t>
      </w:r>
      <w:r w:rsidR="00620928">
        <w:t xml:space="preserve"> </w:t>
      </w:r>
      <w:r w:rsidR="00BB0B79">
        <w:t>welche</w:t>
      </w:r>
      <w:r w:rsidR="00620928">
        <w:t xml:space="preserve"> </w:t>
      </w:r>
      <w:r w:rsidR="00172A81">
        <w:t xml:space="preserve">Vorteile </w:t>
      </w:r>
      <w:r w:rsidR="00BB0B79">
        <w:t>der</w:t>
      </w:r>
      <w:r w:rsidR="00172A81">
        <w:t xml:space="preserve"> Aufbau</w:t>
      </w:r>
      <w:r w:rsidR="006F1861">
        <w:t xml:space="preserve"> georedundanter Systeme</w:t>
      </w:r>
      <w:r w:rsidR="00524942">
        <w:t xml:space="preserve"> </w:t>
      </w:r>
      <w:r w:rsidR="00BB0B79">
        <w:t>bringt und</w:t>
      </w:r>
      <w:r w:rsidR="00E74E18">
        <w:t xml:space="preserve"> wie Verantwortliche die </w:t>
      </w:r>
      <w:r w:rsidR="00172A81">
        <w:t xml:space="preserve">maximale Sicherheit ihrer IT-Infrastruktur </w:t>
      </w:r>
      <w:r w:rsidR="00524942">
        <w:t xml:space="preserve">durch </w:t>
      </w:r>
      <w:r w:rsidR="00E74E18">
        <w:t xml:space="preserve">den Einsatz von </w:t>
      </w:r>
      <w:r w:rsidR="00524942" w:rsidRPr="00524942">
        <w:t>Security Information and Event Management</w:t>
      </w:r>
      <w:r w:rsidR="00524942">
        <w:t xml:space="preserve"> (SIEM) und Security </w:t>
      </w:r>
      <w:proofErr w:type="spellStart"/>
      <w:r w:rsidR="00524942">
        <w:t>Operations</w:t>
      </w:r>
      <w:proofErr w:type="spellEnd"/>
      <w:r w:rsidR="00524942">
        <w:t xml:space="preserve"> Center (SOC)</w:t>
      </w:r>
      <w:r w:rsidR="00E74E18">
        <w:t xml:space="preserve"> </w:t>
      </w:r>
      <w:r w:rsidR="00172A81">
        <w:t>gewährleisten</w:t>
      </w:r>
      <w:r w:rsidR="00E74E18">
        <w:t xml:space="preserve"> können</w:t>
      </w:r>
      <w:r w:rsidR="00524942">
        <w:t>.</w:t>
      </w:r>
    </w:p>
    <w:p w14:paraId="718169CF" w14:textId="0CC5266F" w:rsidR="00172A81" w:rsidRDefault="00172A81" w:rsidP="009B67DA">
      <w:pPr>
        <w:suppressAutoHyphens/>
        <w:spacing w:line="276" w:lineRule="auto"/>
        <w:jc w:val="both"/>
      </w:pPr>
    </w:p>
    <w:p w14:paraId="02602A19" w14:textId="0BE8B191" w:rsidR="00172A81" w:rsidRPr="00AF2C22" w:rsidRDefault="00AF2C22" w:rsidP="009B67DA">
      <w:pPr>
        <w:suppressAutoHyphens/>
        <w:spacing w:line="276" w:lineRule="auto"/>
        <w:jc w:val="both"/>
        <w:rPr>
          <w:b/>
          <w:bCs/>
        </w:rPr>
      </w:pPr>
      <w:r w:rsidRPr="00AF2C22">
        <w:rPr>
          <w:b/>
          <w:bCs/>
        </w:rPr>
        <w:t>Physischen und Cyber-Attacken vorbeugen</w:t>
      </w:r>
    </w:p>
    <w:p w14:paraId="6C1DE403" w14:textId="77777777" w:rsidR="00E74E18" w:rsidRDefault="00E74E18" w:rsidP="009B67DA">
      <w:pPr>
        <w:suppressAutoHyphens/>
        <w:spacing w:line="276" w:lineRule="auto"/>
        <w:jc w:val="both"/>
      </w:pPr>
    </w:p>
    <w:p w14:paraId="193EDBF3" w14:textId="2E3B5E3F" w:rsidR="00CF6C73" w:rsidRPr="00D54105" w:rsidRDefault="00524942" w:rsidP="009B67DA">
      <w:pPr>
        <w:suppressAutoHyphens/>
        <w:spacing w:line="276" w:lineRule="auto"/>
        <w:jc w:val="both"/>
      </w:pPr>
      <w:r>
        <w:t>Aber auch Nachhaltigkeits</w:t>
      </w:r>
      <w:r w:rsidR="00172A81">
        <w:t>initiativen</w:t>
      </w:r>
      <w:r>
        <w:t xml:space="preserve"> </w:t>
      </w:r>
      <w:r w:rsidR="00172A81">
        <w:t xml:space="preserve">auf Basis </w:t>
      </w:r>
      <w:r>
        <w:t>erneuerbare</w:t>
      </w:r>
      <w:r w:rsidR="00172A81">
        <w:t>r</w:t>
      </w:r>
      <w:r>
        <w:t xml:space="preserve"> Energie</w:t>
      </w:r>
      <w:r w:rsidR="00172A81">
        <w:t>n</w:t>
      </w:r>
      <w:r>
        <w:t>, Kostenreduktion durch einfache Skalierbarkeit</w:t>
      </w:r>
      <w:r w:rsidR="00CC09AE">
        <w:t>, Interne Revision</w:t>
      </w:r>
      <w:r>
        <w:t xml:space="preserve"> und hundertprozentige DSGVO-Konformität stehen auf der </w:t>
      </w:r>
      <w:r w:rsidR="004746B0">
        <w:t xml:space="preserve">diesjährigen </w:t>
      </w:r>
      <w:r w:rsidR="00EE3CCD">
        <w:t>Messea</w:t>
      </w:r>
      <w:r>
        <w:t xml:space="preserve">genda des Anbieters </w:t>
      </w:r>
      <w:r w:rsidR="00EE3CCD">
        <w:t>von hochsicheren</w:t>
      </w:r>
      <w:r>
        <w:t xml:space="preserve"> </w:t>
      </w:r>
      <w:r w:rsidR="00A410ED">
        <w:t xml:space="preserve">Rechenzentrums-, </w:t>
      </w:r>
      <w:proofErr w:type="spellStart"/>
      <w:r w:rsidR="00A410ED">
        <w:t>Managed</w:t>
      </w:r>
      <w:proofErr w:type="spellEnd"/>
      <w:r w:rsidR="00A410ED">
        <w:t>-IT- und Cloud-Services</w:t>
      </w:r>
      <w:r>
        <w:t>.</w:t>
      </w:r>
      <w:r w:rsidR="00CF6C73">
        <w:t xml:space="preserve"> </w:t>
      </w:r>
      <w:r w:rsidR="002B32AD" w:rsidRPr="002B32AD">
        <w:t>Göth</w:t>
      </w:r>
      <w:r w:rsidR="00EE3CCD">
        <w:t xml:space="preserve">: </w:t>
      </w:r>
      <w:r w:rsidR="00CF6C73">
        <w:rPr>
          <w:lang w:val="de-DE"/>
        </w:rPr>
        <w:t>„</w:t>
      </w:r>
      <w:r w:rsidR="00CF6C73">
        <w:t>Der Schutz vor physischen Angriffen und Cyber-</w:t>
      </w:r>
      <w:r w:rsidR="00CF6C73">
        <w:lastRenderedPageBreak/>
        <w:t>Attacken ist angesichts der aktuellen politischen und wirtschaftlichen Turbulenzen wichtiger denn je.</w:t>
      </w:r>
      <w:r w:rsidR="00EE3CCD">
        <w:t>"</w:t>
      </w:r>
      <w:r w:rsidR="00CF6C73">
        <w:t xml:space="preserve"> </w:t>
      </w:r>
    </w:p>
    <w:p w14:paraId="0DAA37CF" w14:textId="7B8087C7" w:rsidR="005354E7" w:rsidRPr="00A00994" w:rsidRDefault="00A00994" w:rsidP="00A00994">
      <w:pPr>
        <w:suppressAutoHyphens/>
        <w:spacing w:line="276" w:lineRule="auto"/>
        <w:jc w:val="both"/>
      </w:pPr>
      <w:r>
        <w:t xml:space="preserve">Am Donnerstag, den 27. Oktober wird Michael Steger, </w:t>
      </w:r>
      <w:proofErr w:type="spellStart"/>
      <w:r w:rsidR="004A7C28">
        <w:t>Principal</w:t>
      </w:r>
      <w:proofErr w:type="spellEnd"/>
      <w:r w:rsidR="004A7C28">
        <w:t xml:space="preserve"> Security Analyst </w:t>
      </w:r>
      <w:r>
        <w:t xml:space="preserve">bei der </w:t>
      </w:r>
      <w:proofErr w:type="spellStart"/>
      <w:r>
        <w:t>noris</w:t>
      </w:r>
      <w:proofErr w:type="spellEnd"/>
      <w:r>
        <w:t xml:space="preserve"> network AG, von </w:t>
      </w:r>
      <w:r w:rsidRPr="00A00994">
        <w:t xml:space="preserve">12:00 </w:t>
      </w:r>
      <w:r>
        <w:t xml:space="preserve">bis </w:t>
      </w:r>
      <w:r w:rsidRPr="00A00994">
        <w:t>12:15 Uhr</w:t>
      </w:r>
      <w:r>
        <w:t xml:space="preserve"> im </w:t>
      </w:r>
      <w:r w:rsidRPr="00A00994">
        <w:t>Knowledge</w:t>
      </w:r>
      <w:r>
        <w:t>-</w:t>
      </w:r>
      <w:r w:rsidRPr="00A00994">
        <w:t>Forum D</w:t>
      </w:r>
      <w:r>
        <w:t xml:space="preserve"> </w:t>
      </w:r>
      <w:r w:rsidRPr="00A00994">
        <w:t>der it-sa 2022</w:t>
      </w:r>
      <w:r w:rsidR="002E75B3">
        <w:t xml:space="preserve"> über</w:t>
      </w:r>
      <w:r w:rsidR="004A7C28">
        <w:t xml:space="preserve"> </w:t>
      </w:r>
      <w:hyperlink r:id="rId9" w:history="1">
        <w:r w:rsidR="005354E7" w:rsidRPr="004A7C28">
          <w:rPr>
            <w:rStyle w:val="Hyperlink"/>
            <w:rFonts w:cs="Arial"/>
          </w:rPr>
          <w:t xml:space="preserve">„IT-Security effizient </w:t>
        </w:r>
        <w:proofErr w:type="spellStart"/>
        <w:r w:rsidR="005354E7" w:rsidRPr="004A7C28">
          <w:rPr>
            <w:rStyle w:val="Hyperlink"/>
            <w:rFonts w:cs="Arial"/>
          </w:rPr>
          <w:t>gemanaged</w:t>
        </w:r>
        <w:proofErr w:type="spellEnd"/>
        <w:r w:rsidR="005354E7" w:rsidRPr="004A7C28">
          <w:rPr>
            <w:rStyle w:val="Hyperlink"/>
            <w:rFonts w:cs="Arial"/>
          </w:rPr>
          <w:t xml:space="preserve"> – nicht nur eine Frage der Tools, sondern auch eine Frage der Organisation und Prozesse“</w:t>
        </w:r>
      </w:hyperlink>
      <w:r w:rsidR="002E75B3">
        <w:t xml:space="preserve"> referieren.</w:t>
      </w:r>
    </w:p>
    <w:p w14:paraId="6CF26320" w14:textId="2E98D508" w:rsidR="005354E7" w:rsidRDefault="005354E7" w:rsidP="005354E7">
      <w:pPr>
        <w:spacing w:line="276" w:lineRule="auto"/>
      </w:pPr>
    </w:p>
    <w:p w14:paraId="38316CEC" w14:textId="77777777" w:rsidR="001307A0" w:rsidRDefault="001307A0" w:rsidP="005354E7">
      <w:pPr>
        <w:spacing w:line="276" w:lineRule="auto"/>
      </w:pPr>
    </w:p>
    <w:p w14:paraId="24AF9517" w14:textId="77777777" w:rsidR="00B91AA0" w:rsidRPr="009016A0" w:rsidRDefault="00B91AA0" w:rsidP="008C4B6D">
      <w:pPr>
        <w:pStyle w:val="PITextkrper"/>
        <w:spacing w:line="276" w:lineRule="auto"/>
        <w:rPr>
          <w:lang w:val="de-DE"/>
        </w:rPr>
      </w:pPr>
      <w:r w:rsidRPr="009016A0">
        <w:rPr>
          <w:lang w:val="de-DE"/>
        </w:rPr>
        <w:t>______________________________________________________________</w:t>
      </w:r>
    </w:p>
    <w:p w14:paraId="7EF76A7E" w14:textId="77777777" w:rsidR="00B91AA0" w:rsidRPr="009016A0" w:rsidRDefault="00B91AA0" w:rsidP="008C4B6D">
      <w:pPr>
        <w:pStyle w:val="PIAbspann"/>
        <w:spacing w:line="276" w:lineRule="auto"/>
        <w:rPr>
          <w:b/>
          <w:bCs/>
          <w:lang w:val="de-DE"/>
        </w:rPr>
      </w:pPr>
      <w:r w:rsidRPr="009016A0">
        <w:rPr>
          <w:b/>
          <w:bCs/>
          <w:lang w:val="de-DE"/>
        </w:rPr>
        <w:t>Verfügbares Bildmaterial</w:t>
      </w:r>
    </w:p>
    <w:p w14:paraId="74BD6D7D" w14:textId="77777777" w:rsidR="00B91AA0" w:rsidRPr="009016A0" w:rsidRDefault="00B91AA0" w:rsidP="008C4B6D">
      <w:pPr>
        <w:pStyle w:val="PIAbspann"/>
        <w:spacing w:after="0" w:line="276" w:lineRule="auto"/>
        <w:jc w:val="left"/>
        <w:rPr>
          <w:lang w:val="de-DE"/>
        </w:rPr>
      </w:pPr>
      <w:r w:rsidRPr="009016A0">
        <w:rPr>
          <w:lang w:val="de-DE"/>
        </w:rPr>
        <w:t>Folgendes Bildmaterial steht druckfähig im Internet zum Download bereit:</w:t>
      </w:r>
      <w:r w:rsidRPr="009016A0">
        <w:rPr>
          <w:lang w:val="de-DE"/>
        </w:rPr>
        <w:br/>
      </w:r>
      <w:hyperlink r:id="rId10" w:history="1">
        <w:r w:rsidR="00632FCD" w:rsidRPr="00563BE5">
          <w:rPr>
            <w:rStyle w:val="Hyperlink"/>
            <w:rFonts w:cs="Arial"/>
          </w:rPr>
          <w:t>https://kk.htcm.de/press-releases/noris/</w:t>
        </w:r>
      </w:hyperlink>
    </w:p>
    <w:p w14:paraId="221E4F38" w14:textId="77777777" w:rsidR="00B91AA0" w:rsidRPr="009016A0" w:rsidRDefault="00B91AA0" w:rsidP="008C4B6D">
      <w:pPr>
        <w:pStyle w:val="PIAbspann"/>
        <w:spacing w:after="0" w:line="276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7"/>
        <w:gridCol w:w="3260"/>
      </w:tblGrid>
      <w:tr w:rsidR="00D03277" w:rsidRPr="001307A0" w14:paraId="1FB4703E" w14:textId="7FFD8DD8" w:rsidTr="001307A0">
        <w:trPr>
          <w:trHeight w:val="183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C0C7" w14:textId="4E9C07EB" w:rsidR="001307A0" w:rsidRDefault="001307A0" w:rsidP="001307A0">
            <w:pPr>
              <w:pStyle w:val="PILinie"/>
              <w:pBdr>
                <w:bottom w:val="none" w:sz="0" w:space="0" w:color="auto"/>
              </w:pBdr>
              <w:snapToGrid w:val="0"/>
              <w:spacing w:before="120" w:line="276" w:lineRule="auto"/>
              <w:jc w:val="center"/>
              <w:rPr>
                <w:b w:val="0"/>
                <w:color w:val="000000"/>
                <w:sz w:val="16"/>
                <w:szCs w:val="16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102FB9F1" wp14:editId="14C28610">
                  <wp:extent cx="1349921" cy="1800000"/>
                  <wp:effectExtent l="0" t="0" r="317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921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6661B" w14:textId="31C44E3D" w:rsidR="00D03277" w:rsidRDefault="00D03277" w:rsidP="008C4B6D">
            <w:pPr>
              <w:pStyle w:val="PILinie"/>
              <w:pBdr>
                <w:bottom w:val="none" w:sz="0" w:space="0" w:color="auto"/>
              </w:pBdr>
              <w:snapToGrid w:val="0"/>
              <w:spacing w:before="120" w:line="276" w:lineRule="auto"/>
              <w:rPr>
                <w:b w:val="0"/>
                <w:color w:val="000000"/>
                <w:sz w:val="16"/>
                <w:szCs w:val="16"/>
                <w:lang w:val="en-US"/>
              </w:rPr>
            </w:pPr>
            <w:proofErr w:type="spellStart"/>
            <w:r w:rsidRPr="002B32AD">
              <w:rPr>
                <w:b w:val="0"/>
                <w:color w:val="000000"/>
                <w:sz w:val="16"/>
                <w:szCs w:val="16"/>
                <w:lang w:val="en-US"/>
              </w:rPr>
              <w:t>Bildquelle</w:t>
            </w:r>
            <w:proofErr w:type="spellEnd"/>
            <w:r w:rsidRPr="002B32AD">
              <w:rPr>
                <w:b w:val="0"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2B32AD">
              <w:rPr>
                <w:b w:val="0"/>
                <w:color w:val="000000"/>
                <w:sz w:val="16"/>
                <w:szCs w:val="16"/>
                <w:lang w:val="en-US"/>
              </w:rPr>
              <w:t>noris</w:t>
            </w:r>
            <w:proofErr w:type="spellEnd"/>
            <w:r w:rsidRPr="002B32AD">
              <w:rPr>
                <w:b w:val="0"/>
                <w:color w:val="000000"/>
                <w:sz w:val="16"/>
                <w:szCs w:val="16"/>
                <w:lang w:val="en-US"/>
              </w:rPr>
              <w:t xml:space="preserve"> network</w:t>
            </w:r>
          </w:p>
          <w:p w14:paraId="6F580B3F" w14:textId="5E82740A" w:rsidR="00D03277" w:rsidRPr="002B32AD" w:rsidRDefault="002B32AD" w:rsidP="008C4B6D">
            <w:pPr>
              <w:pStyle w:val="FormatvorlagePILinieVor6ptUntenKeinRahmen"/>
              <w:spacing w:line="276" w:lineRule="auto"/>
              <w:rPr>
                <w:lang w:val="en-US"/>
              </w:rPr>
            </w:pPr>
            <w:r w:rsidRPr="002B32AD">
              <w:rPr>
                <w:lang w:val="en-US"/>
              </w:rPr>
              <w:t xml:space="preserve">Bernhard </w:t>
            </w:r>
            <w:proofErr w:type="spellStart"/>
            <w:r w:rsidRPr="002B32AD">
              <w:rPr>
                <w:lang w:val="en-US"/>
              </w:rPr>
              <w:t>Göth</w:t>
            </w:r>
            <w:proofErr w:type="spellEnd"/>
            <w:r w:rsidR="00D03277" w:rsidRPr="002B32AD">
              <w:rPr>
                <w:lang w:val="en-US"/>
              </w:rPr>
              <w:t xml:space="preserve">, </w:t>
            </w:r>
            <w:r w:rsidRPr="002B32AD">
              <w:rPr>
                <w:lang w:val="en-US"/>
              </w:rPr>
              <w:t xml:space="preserve">Head of Sales, </w:t>
            </w:r>
            <w:proofErr w:type="spellStart"/>
            <w:r w:rsidR="00D03277" w:rsidRPr="002B32AD">
              <w:rPr>
                <w:lang w:val="en-US"/>
              </w:rPr>
              <w:t>noris</w:t>
            </w:r>
            <w:proofErr w:type="spellEnd"/>
            <w:r w:rsidR="00D03277" w:rsidRPr="002B32AD">
              <w:rPr>
                <w:lang w:val="en-US"/>
              </w:rPr>
              <w:t xml:space="preserve"> network AG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05AD" w14:textId="77777777" w:rsidR="001307A0" w:rsidRDefault="00D03277" w:rsidP="001307A0">
            <w:pPr>
              <w:pStyle w:val="PILinie"/>
              <w:pBdr>
                <w:bottom w:val="none" w:sz="0" w:space="0" w:color="auto"/>
              </w:pBdr>
              <w:snapToGrid w:val="0"/>
              <w:spacing w:before="120" w:line="276" w:lineRule="auto"/>
              <w:jc w:val="center"/>
              <w:rPr>
                <w:b w:val="0"/>
                <w:color w:val="000000"/>
                <w:sz w:val="16"/>
                <w:szCs w:val="16"/>
                <w:lang w:val="de-DE"/>
              </w:rPr>
            </w:pPr>
            <w:r w:rsidRPr="00D03277">
              <w:rPr>
                <w:noProof/>
              </w:rPr>
              <w:drawing>
                <wp:inline distT="0" distB="0" distL="0" distR="0" wp14:anchorId="693BF069" wp14:editId="38788513">
                  <wp:extent cx="1800000" cy="180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CD5B6A" w14:textId="7272CFAD" w:rsidR="00D03277" w:rsidRPr="001307A0" w:rsidRDefault="00D03277" w:rsidP="001307A0">
            <w:pPr>
              <w:pStyle w:val="PILinie"/>
              <w:pBdr>
                <w:bottom w:val="none" w:sz="0" w:space="0" w:color="auto"/>
              </w:pBdr>
              <w:snapToGrid w:val="0"/>
              <w:spacing w:before="120" w:line="276" w:lineRule="auto"/>
              <w:rPr>
                <w:b w:val="0"/>
                <w:color w:val="000000"/>
                <w:lang w:val="en-US"/>
              </w:rPr>
            </w:pPr>
            <w:proofErr w:type="spellStart"/>
            <w:r w:rsidRPr="001307A0">
              <w:rPr>
                <w:b w:val="0"/>
                <w:color w:val="000000"/>
                <w:sz w:val="16"/>
                <w:szCs w:val="16"/>
                <w:lang w:val="en-US"/>
              </w:rPr>
              <w:t>Bildquelle</w:t>
            </w:r>
            <w:proofErr w:type="spellEnd"/>
            <w:r w:rsidRPr="001307A0">
              <w:rPr>
                <w:b w:val="0"/>
                <w:color w:val="000000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1307A0">
              <w:rPr>
                <w:b w:val="0"/>
                <w:color w:val="000000"/>
                <w:sz w:val="16"/>
                <w:szCs w:val="16"/>
                <w:lang w:val="en-US"/>
              </w:rPr>
              <w:t>noris</w:t>
            </w:r>
            <w:proofErr w:type="spellEnd"/>
            <w:r w:rsidRPr="001307A0">
              <w:rPr>
                <w:b w:val="0"/>
                <w:color w:val="000000"/>
                <w:sz w:val="16"/>
                <w:szCs w:val="16"/>
                <w:lang w:val="en-US"/>
              </w:rPr>
              <w:t xml:space="preserve"> network</w:t>
            </w:r>
          </w:p>
          <w:p w14:paraId="3D379C04" w14:textId="2BEFEE61" w:rsidR="00D03277" w:rsidRPr="001307A0" w:rsidRDefault="00D03277" w:rsidP="00D03277">
            <w:pPr>
              <w:pStyle w:val="PILinie"/>
              <w:pBdr>
                <w:bottom w:val="none" w:sz="0" w:space="0" w:color="auto"/>
              </w:pBdr>
              <w:snapToGrid w:val="0"/>
              <w:spacing w:before="120" w:line="276" w:lineRule="auto"/>
              <w:rPr>
                <w:b w:val="0"/>
                <w:color w:val="000000"/>
                <w:lang w:val="en-US"/>
              </w:rPr>
            </w:pPr>
            <w:r w:rsidRPr="001307A0">
              <w:rPr>
                <w:lang w:val="en-US"/>
              </w:rPr>
              <w:t>Michael Steger, Principal Security Analyst</w:t>
            </w:r>
            <w:r w:rsidR="001307A0" w:rsidRPr="001307A0">
              <w:rPr>
                <w:lang w:val="en-US"/>
              </w:rPr>
              <w:t xml:space="preserve">, </w:t>
            </w:r>
            <w:proofErr w:type="spellStart"/>
            <w:r w:rsidRPr="001307A0">
              <w:rPr>
                <w:lang w:val="en-US"/>
              </w:rPr>
              <w:t>noris</w:t>
            </w:r>
            <w:proofErr w:type="spellEnd"/>
            <w:r w:rsidRPr="001307A0">
              <w:rPr>
                <w:lang w:val="en-US"/>
              </w:rPr>
              <w:t xml:space="preserve"> network AG</w:t>
            </w:r>
          </w:p>
        </w:tc>
      </w:tr>
    </w:tbl>
    <w:p w14:paraId="62AB116A" w14:textId="77777777" w:rsidR="00EC30C1" w:rsidRPr="001307A0" w:rsidRDefault="00EC30C1" w:rsidP="008C4B6D">
      <w:pPr>
        <w:spacing w:after="120" w:line="276" w:lineRule="auto"/>
        <w:jc w:val="both"/>
        <w:rPr>
          <w:b/>
          <w:bCs/>
          <w:sz w:val="18"/>
          <w:szCs w:val="18"/>
          <w:lang w:val="en-US"/>
        </w:rPr>
      </w:pPr>
    </w:p>
    <w:p w14:paraId="3F48F970" w14:textId="1C60CE1C" w:rsidR="00B70418" w:rsidRPr="001307A0" w:rsidRDefault="00B70418" w:rsidP="008C4B6D">
      <w:pPr>
        <w:spacing w:line="276" w:lineRule="auto"/>
        <w:rPr>
          <w:sz w:val="18"/>
          <w:szCs w:val="18"/>
          <w:lang w:val="en-US"/>
        </w:rPr>
      </w:pPr>
    </w:p>
    <w:p w14:paraId="48CFBF52" w14:textId="18501D33" w:rsidR="00B70418" w:rsidRPr="00B70418" w:rsidRDefault="00B70418" w:rsidP="009B67DA">
      <w:pPr>
        <w:spacing w:after="120" w:line="276" w:lineRule="auto"/>
        <w:jc w:val="both"/>
        <w:rPr>
          <w:b/>
          <w:bCs/>
          <w:sz w:val="18"/>
          <w:szCs w:val="18"/>
        </w:rPr>
      </w:pPr>
      <w:proofErr w:type="spellStart"/>
      <w:r w:rsidRPr="00B70418">
        <w:rPr>
          <w:b/>
          <w:bCs/>
          <w:sz w:val="18"/>
          <w:szCs w:val="18"/>
        </w:rPr>
        <w:t>it-sa</w:t>
      </w:r>
      <w:proofErr w:type="spellEnd"/>
    </w:p>
    <w:p w14:paraId="1BE34BA9" w14:textId="36AC5562" w:rsidR="00B70418" w:rsidRPr="009B67DA" w:rsidRDefault="00B70418" w:rsidP="009B67DA">
      <w:pPr>
        <w:pStyle w:val="PIAbspann"/>
        <w:suppressAutoHyphens/>
        <w:rPr>
          <w:color w:val="000000"/>
          <w:lang w:val="de-DE"/>
        </w:rPr>
      </w:pPr>
      <w:r w:rsidRPr="009B67DA">
        <w:rPr>
          <w:color w:val="000000"/>
          <w:lang w:val="de-DE"/>
        </w:rPr>
        <w:t>Die it-sa ist Europas bedeutendste Fachmesse für IT-Security und eine der bedeutendsten Plattformen für Lösungen rund um die Themen Cloud-Management, Mobile- &amp; Cybersecurity sowie Daten- und Netzwerksicherheit weltweit. Sie versammelt C-Level Experten, IT-Sicherheitsbeauftragte aus Industrie, Dienstleistung und Verwaltung sowie Entwickler und Anbieter von Produkten und Services rund um die Themen IT-Sicherheit und Cybersecurity.</w:t>
      </w:r>
    </w:p>
    <w:p w14:paraId="3602938D" w14:textId="77777777" w:rsidR="00B70418" w:rsidRDefault="00B70418" w:rsidP="008C4B6D">
      <w:pPr>
        <w:spacing w:after="120" w:line="276" w:lineRule="auto"/>
        <w:jc w:val="both"/>
        <w:rPr>
          <w:b/>
          <w:bCs/>
          <w:sz w:val="18"/>
          <w:szCs w:val="18"/>
          <w:lang w:val="de-DE"/>
        </w:rPr>
      </w:pPr>
    </w:p>
    <w:p w14:paraId="57C7FB7A" w14:textId="105207D1" w:rsidR="009D7756" w:rsidRPr="0015555A" w:rsidRDefault="009D7756" w:rsidP="008C4B6D">
      <w:pPr>
        <w:spacing w:after="120" w:line="276" w:lineRule="auto"/>
        <w:jc w:val="both"/>
        <w:rPr>
          <w:b/>
          <w:bCs/>
          <w:sz w:val="18"/>
          <w:szCs w:val="18"/>
          <w:lang w:val="de-DE"/>
        </w:rPr>
      </w:pPr>
      <w:proofErr w:type="spellStart"/>
      <w:r w:rsidRPr="001025A1">
        <w:rPr>
          <w:b/>
          <w:bCs/>
          <w:sz w:val="18"/>
          <w:szCs w:val="18"/>
          <w:lang w:val="de-DE"/>
        </w:rPr>
        <w:t>noris</w:t>
      </w:r>
      <w:proofErr w:type="spellEnd"/>
      <w:r w:rsidRPr="001025A1">
        <w:rPr>
          <w:b/>
          <w:bCs/>
          <w:sz w:val="18"/>
          <w:szCs w:val="18"/>
          <w:lang w:val="de-DE"/>
        </w:rPr>
        <w:t xml:space="preserve"> network AG</w:t>
      </w:r>
    </w:p>
    <w:p w14:paraId="2E076DB5" w14:textId="77777777" w:rsidR="009D7756" w:rsidRPr="0015555A" w:rsidRDefault="009D7756" w:rsidP="009B67DA">
      <w:pPr>
        <w:pStyle w:val="PIAbspann"/>
        <w:suppressAutoHyphens/>
        <w:rPr>
          <w:color w:val="000000"/>
          <w:lang w:val="de-DE"/>
        </w:rPr>
      </w:pPr>
      <w:r w:rsidRPr="0015555A">
        <w:rPr>
          <w:color w:val="000000"/>
          <w:lang w:val="de-DE"/>
        </w:rPr>
        <w:t xml:space="preserve">Die Nürnberger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AG bietet Unternehmen und Organisationen mit den Branchenschwerpunkten Banken/Versicherungen, Automotive/Industrie, Softwareentwicklung und Öffentliche Verwaltung maßgeschneiderte ITK-Lösungen in den Bereichen IT-Outsourcing, </w:t>
      </w:r>
      <w:proofErr w:type="spellStart"/>
      <w:r w:rsidRPr="0015555A">
        <w:rPr>
          <w:color w:val="000000"/>
          <w:lang w:val="de-DE"/>
        </w:rPr>
        <w:lastRenderedPageBreak/>
        <w:t>Managed</w:t>
      </w:r>
      <w:proofErr w:type="spellEnd"/>
      <w:r w:rsidRPr="0015555A">
        <w:rPr>
          <w:color w:val="000000"/>
          <w:lang w:val="de-DE"/>
        </w:rPr>
        <w:t xml:space="preserve"> Services, Cloud Services sowie Network &amp; Security. Technologische Basis ist eine leistungsfähige IT-Infrastruktur mit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network-eigenen Hochsicherheitsrechenzentren – darunter mit Nürnberg Süd und München Ost zwei der anerkannt modernsten und energieeffizientesten Rechenzentren Europas. Neben kundenspezifischen Lösungen und Services für klassische und virtualisierte IT-Infrastrukturen bietet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PaaS-Providing auf eigenen Cloud-Plattformen und mit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</w:t>
      </w:r>
      <w:proofErr w:type="spellStart"/>
      <w:r w:rsidRPr="0015555A">
        <w:rPr>
          <w:color w:val="000000"/>
          <w:lang w:val="de-DE"/>
        </w:rPr>
        <w:t>Kubernetes</w:t>
      </w:r>
      <w:proofErr w:type="spellEnd"/>
      <w:r w:rsidRPr="0015555A">
        <w:rPr>
          <w:color w:val="000000"/>
          <w:lang w:val="de-DE"/>
        </w:rPr>
        <w:t xml:space="preserve"> auch Services für die automatisierte Skalierung von Ressourcen (Container). Weitere, standardisierte Premium-Rechenzentrumsprodukte fasst das Unternehmen unter der Marke datacenter.de zusammen.</w:t>
      </w:r>
    </w:p>
    <w:p w14:paraId="6E08924A" w14:textId="77777777" w:rsidR="009D7756" w:rsidRPr="007D14EE" w:rsidRDefault="009D7756" w:rsidP="009B67DA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 xml:space="preserve">Die </w:t>
      </w:r>
      <w:proofErr w:type="spellStart"/>
      <w:r w:rsidRPr="007D14EE">
        <w:rPr>
          <w:color w:val="000000"/>
          <w:lang w:val="de-DE"/>
        </w:rPr>
        <w:t>noris</w:t>
      </w:r>
      <w:proofErr w:type="spellEnd"/>
      <w:r w:rsidRPr="007D14EE">
        <w:rPr>
          <w:color w:val="000000"/>
          <w:lang w:val="de-DE"/>
        </w:rPr>
        <w:t xml:space="preserve">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</w:t>
      </w:r>
      <w:proofErr w:type="spellStart"/>
      <w:r w:rsidRPr="007D14EE">
        <w:rPr>
          <w:color w:val="000000"/>
          <w:lang w:val="de-DE"/>
        </w:rPr>
        <w:t>noris</w:t>
      </w:r>
      <w:proofErr w:type="spellEnd"/>
      <w:r w:rsidRPr="007D14EE">
        <w:rPr>
          <w:color w:val="000000"/>
          <w:lang w:val="de-DE"/>
        </w:rPr>
        <w:t xml:space="preserve"> network als erster Rechenzentrumsbetreiber nach </w:t>
      </w:r>
      <w:proofErr w:type="spellStart"/>
      <w:r w:rsidRPr="009B67DA">
        <w:rPr>
          <w:color w:val="000000"/>
          <w:lang w:val="de-DE"/>
        </w:rPr>
        <w:t>VdS</w:t>
      </w:r>
      <w:proofErr w:type="spellEnd"/>
      <w:r w:rsidRPr="009B67DA">
        <w:rPr>
          <w:color w:val="000000"/>
          <w:lang w:val="de-DE"/>
        </w:rPr>
        <w:t xml:space="preserve">-Richtlinie 3406 zertifiziert, zudem sind die maximalen Verfügbarkeits-, Schutz- und Energieeffizienzklassen des Rechenzentrums München Ost nach </w:t>
      </w:r>
      <w:r w:rsidRPr="007D14EE">
        <w:rPr>
          <w:color w:val="000000"/>
          <w:lang w:val="de-DE"/>
        </w:rPr>
        <w:t>EN 50600 bestätigt.</w:t>
      </w:r>
    </w:p>
    <w:p w14:paraId="59E12368" w14:textId="77777777" w:rsidR="009D7756" w:rsidRPr="000F6B96" w:rsidRDefault="009D7756" w:rsidP="009B67DA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>Die Rechenzentren Nürnberg Mitte und Nürnberg Süd sowie München Ost haben das ISO 27001-Zertifikat auf Basis von IT-Grundschutz des BSI erhalten.</w:t>
      </w:r>
      <w:r w:rsidRPr="0015555A">
        <w:rPr>
          <w:color w:val="000000"/>
          <w:lang w:val="de-DE"/>
        </w:rPr>
        <w:t xml:space="preserve"> </w:t>
      </w:r>
      <w:r w:rsidRPr="00D51804">
        <w:rPr>
          <w:color w:val="000000"/>
          <w:lang w:val="de-DE"/>
        </w:rPr>
        <w:t xml:space="preserve">Am Standort Nürnberg Süd bietet </w:t>
      </w:r>
      <w:proofErr w:type="spellStart"/>
      <w:r w:rsidRPr="00D51804">
        <w:rPr>
          <w:color w:val="000000"/>
          <w:lang w:val="de-DE"/>
        </w:rPr>
        <w:t>noris</w:t>
      </w:r>
      <w:proofErr w:type="spellEnd"/>
      <w:r w:rsidRPr="00D51804">
        <w:rPr>
          <w:color w:val="000000"/>
          <w:lang w:val="de-DE"/>
        </w:rPr>
        <w:t xml:space="preserve"> network die einzigartige Möglichkeit, ein </w:t>
      </w:r>
      <w:proofErr w:type="spellStart"/>
      <w:r w:rsidRPr="00D51804">
        <w:rPr>
          <w:color w:val="000000"/>
          <w:lang w:val="de-DE"/>
        </w:rPr>
        <w:t>Colocation</w:t>
      </w:r>
      <w:proofErr w:type="spellEnd"/>
      <w:r w:rsidRPr="00D51804">
        <w:rPr>
          <w:color w:val="000000"/>
          <w:lang w:val="de-DE"/>
        </w:rPr>
        <w:t xml:space="preserve">-Rechenzentrum mit </w:t>
      </w:r>
      <w:proofErr w:type="spellStart"/>
      <w:r w:rsidRPr="00D51804">
        <w:rPr>
          <w:color w:val="000000"/>
          <w:lang w:val="de-DE"/>
        </w:rPr>
        <w:t>TÜViT</w:t>
      </w:r>
      <w:proofErr w:type="spellEnd"/>
      <w:r w:rsidRPr="00D51804">
        <w:rPr>
          <w:color w:val="000000"/>
          <w:lang w:val="de-DE"/>
        </w:rPr>
        <w:t xml:space="preserve"> TSI Level 4 zu nutzen.</w:t>
      </w:r>
      <w:r>
        <w:rPr>
          <w:color w:val="000000"/>
          <w:lang w:val="de-DE"/>
        </w:rPr>
        <w:t xml:space="preserve"> </w:t>
      </w:r>
      <w:r w:rsidRPr="007D14EE">
        <w:rPr>
          <w:color w:val="000000"/>
          <w:lang w:val="de-DE"/>
        </w:rPr>
        <w:t xml:space="preserve">Weitere Zertifikate, die </w:t>
      </w:r>
      <w:r>
        <w:rPr>
          <w:color w:val="000000"/>
          <w:lang w:val="de-DE"/>
        </w:rPr>
        <w:t xml:space="preserve">der IT-Dienstleister </w:t>
      </w:r>
      <w:r w:rsidRPr="007D14EE">
        <w:rPr>
          <w:color w:val="000000"/>
          <w:lang w:val="de-DE"/>
        </w:rPr>
        <w:t xml:space="preserve">vorweisen kann, sind PCI DSS, TISAX und </w:t>
      </w:r>
      <w:r w:rsidRPr="00D51804">
        <w:rPr>
          <w:color w:val="000000"/>
          <w:lang w:val="de-DE"/>
        </w:rPr>
        <w:t>ISO 14001 Umweltmanagement.</w:t>
      </w:r>
      <w:r w:rsidRPr="0015555A">
        <w:rPr>
          <w:color w:val="000000"/>
          <w:lang w:val="de-DE"/>
        </w:rPr>
        <w:t xml:space="preserve"> 1993 gegründet, zählt die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</w:t>
      </w:r>
      <w:r w:rsidRPr="007220BF">
        <w:rPr>
          <w:color w:val="000000"/>
          <w:lang w:val="de-DE"/>
        </w:rPr>
        <w:t xml:space="preserve">AG zu den deutschen Pionieren auf dem Gebiet moderner IT-Dienstleistungen und betreut heute renommierte Unternehmen wie adidas AG, Consorsbank, Flughafen Nürnberg GmbH, Firmengruppe Max Bögl, Küchen Quelle GmbH, Schmetterling Reisen GmbH &amp; Co. KG, </w:t>
      </w:r>
      <w:proofErr w:type="spellStart"/>
      <w:r w:rsidRPr="007220BF">
        <w:rPr>
          <w:color w:val="000000"/>
          <w:lang w:val="de-DE"/>
        </w:rPr>
        <w:t>Teambank</w:t>
      </w:r>
      <w:proofErr w:type="spellEnd"/>
      <w:r w:rsidRPr="007220BF">
        <w:rPr>
          <w:color w:val="000000"/>
          <w:lang w:val="de-DE"/>
        </w:rPr>
        <w:t xml:space="preserve"> AG u. v. m.</w:t>
      </w:r>
    </w:p>
    <w:p w14:paraId="2D1836CE" w14:textId="77777777" w:rsidR="009D7756" w:rsidRPr="0015555A" w:rsidRDefault="009D7756" w:rsidP="009B67DA">
      <w:pPr>
        <w:pStyle w:val="PIAbspann"/>
        <w:jc w:val="left"/>
        <w:rPr>
          <w:lang w:val="de-DE"/>
        </w:rPr>
      </w:pPr>
      <w:r w:rsidRPr="0015555A">
        <w:rPr>
          <w:color w:val="000000"/>
          <w:lang w:val="de-DE"/>
        </w:rPr>
        <w:t xml:space="preserve">Hauptsitz: </w:t>
      </w:r>
      <w:r w:rsidRPr="0015555A">
        <w:rPr>
          <w:color w:val="000000"/>
          <w:lang w:val="de-DE"/>
        </w:rPr>
        <w:br/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AG, </w:t>
      </w:r>
      <w:r w:rsidRPr="0015555A">
        <w:rPr>
          <w:lang w:val="de-DE"/>
        </w:rPr>
        <w:t>Thomas-Mann-Straße 16 - 20</w:t>
      </w:r>
      <w:r w:rsidRPr="0015555A">
        <w:rPr>
          <w:color w:val="000000"/>
          <w:lang w:val="de-DE"/>
        </w:rPr>
        <w:t>, 90471 Nürnberg, Deutschland</w:t>
      </w:r>
      <w:r w:rsidRPr="0015555A">
        <w:rPr>
          <w:color w:val="000000"/>
          <w:lang w:val="de-DE"/>
        </w:rPr>
        <w:br/>
        <w:t>Telefon: +49 911 9352-0, Fax: +49 911 9352-100</w:t>
      </w:r>
      <w:r w:rsidRPr="0015555A">
        <w:rPr>
          <w:color w:val="000000"/>
          <w:lang w:val="de-DE"/>
        </w:rPr>
        <w:br/>
        <w:t>E</w:t>
      </w:r>
      <w:r w:rsidRPr="0015555A">
        <w:rPr>
          <w:lang w:val="de-DE"/>
        </w:rPr>
        <w:t>-Mail: vertrieb@noris.de</w:t>
      </w:r>
      <w:r w:rsidRPr="0015555A">
        <w:rPr>
          <w:color w:val="000000"/>
          <w:lang w:val="de-DE"/>
        </w:rPr>
        <w:t xml:space="preserve">, </w:t>
      </w:r>
      <w:r w:rsidRPr="0015555A">
        <w:rPr>
          <w:lang w:val="de-DE"/>
        </w:rPr>
        <w:t>Homepage: www.noris.de</w:t>
      </w:r>
    </w:p>
    <w:p w14:paraId="14FB5781" w14:textId="77777777" w:rsidR="009D7756" w:rsidRPr="0015555A" w:rsidRDefault="009D7756" w:rsidP="009B67DA">
      <w:pPr>
        <w:pStyle w:val="PIAbspann"/>
        <w:rPr>
          <w:b/>
          <w:bCs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3895"/>
      </w:tblGrid>
      <w:tr w:rsidR="009D7756" w:rsidRPr="0015555A" w14:paraId="677A1AC0" w14:textId="77777777" w:rsidTr="00C36091">
        <w:tc>
          <w:tcPr>
            <w:tcW w:w="3968" w:type="dxa"/>
          </w:tcPr>
          <w:p w14:paraId="09589B1A" w14:textId="77777777" w:rsidR="009D7756" w:rsidRPr="0015555A" w:rsidRDefault="009D7756" w:rsidP="009B67DA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Kontakt:</w:t>
            </w:r>
          </w:p>
          <w:p w14:paraId="2742E081" w14:textId="77777777" w:rsidR="009D7756" w:rsidRPr="0015555A" w:rsidRDefault="009D7756" w:rsidP="009B67DA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color w:val="000000"/>
                <w:lang w:val="de-DE"/>
              </w:rPr>
              <w:t>noris</w:t>
            </w:r>
            <w:proofErr w:type="spellEnd"/>
            <w:r w:rsidRPr="0015555A">
              <w:rPr>
                <w:color w:val="000000"/>
                <w:lang w:val="de-DE"/>
              </w:rPr>
              <w:t xml:space="preserve"> network AG</w:t>
            </w:r>
            <w:r w:rsidRPr="0015555A">
              <w:rPr>
                <w:color w:val="000000"/>
                <w:lang w:val="de-DE"/>
              </w:rPr>
              <w:br/>
              <w:t>Kirsten Meier</w:t>
            </w:r>
          </w:p>
          <w:p w14:paraId="4BAB8736" w14:textId="77777777" w:rsidR="009D7756" w:rsidRPr="0015555A" w:rsidRDefault="009D7756" w:rsidP="009B67DA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Thomas-Mann-Straße 16 - 20</w:t>
            </w:r>
            <w:r w:rsidRPr="0015555A">
              <w:rPr>
                <w:color w:val="000000"/>
                <w:lang w:val="de-DE"/>
              </w:rPr>
              <w:br/>
              <w:t>90471 Nürnberg</w:t>
            </w:r>
            <w:r w:rsidRPr="0015555A">
              <w:rPr>
                <w:color w:val="000000"/>
                <w:lang w:val="de-DE"/>
              </w:rPr>
              <w:br/>
              <w:t>Tel.: +49 911 9352-0</w:t>
            </w:r>
            <w:r w:rsidRPr="0015555A">
              <w:rPr>
                <w:color w:val="000000"/>
                <w:lang w:val="de-DE"/>
              </w:rPr>
              <w:br/>
              <w:t>Fax: +49 911 9352-100</w:t>
            </w:r>
            <w:r w:rsidRPr="0015555A">
              <w:rPr>
                <w:color w:val="000000"/>
                <w:lang w:val="de-DE"/>
              </w:rPr>
              <w:br/>
              <w:t>E</w:t>
            </w:r>
            <w:r w:rsidRPr="0015555A">
              <w:rPr>
                <w:lang w:val="de-DE"/>
              </w:rPr>
              <w:t>-Mail: kirsten.meier@noris.de</w:t>
            </w:r>
            <w:r w:rsidRPr="0015555A">
              <w:rPr>
                <w:color w:val="000000"/>
                <w:lang w:val="de-DE"/>
              </w:rPr>
              <w:br/>
            </w:r>
            <w:r w:rsidRPr="0015555A"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0E6EEE00" w14:textId="77777777" w:rsidR="009D7756" w:rsidRPr="0015555A" w:rsidRDefault="009D7756" w:rsidP="009B67DA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Presse-Kontakt:</w:t>
            </w:r>
          </w:p>
          <w:p w14:paraId="50AD1F23" w14:textId="77777777" w:rsidR="009D7756" w:rsidRPr="0015555A" w:rsidRDefault="009D7756" w:rsidP="009B67DA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HighTech communications GmbH</w:t>
            </w:r>
            <w:r w:rsidRPr="0015555A">
              <w:rPr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t>Brigitte Basilio</w:t>
            </w:r>
          </w:p>
          <w:p w14:paraId="1C9050D7" w14:textId="77777777" w:rsidR="009D7756" w:rsidRPr="0015555A" w:rsidRDefault="009D7756" w:rsidP="009B67DA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lang w:val="de-DE"/>
              </w:rPr>
              <w:t>Brunhamstraße</w:t>
            </w:r>
            <w:proofErr w:type="spellEnd"/>
            <w:r w:rsidRPr="0015555A">
              <w:rPr>
                <w:lang w:val="de-DE"/>
              </w:rPr>
              <w:t xml:space="preserve"> 21</w:t>
            </w:r>
            <w:r w:rsidRPr="0015555A">
              <w:rPr>
                <w:lang w:val="de-DE"/>
              </w:rPr>
              <w:br/>
              <w:t>81249 München</w:t>
            </w:r>
            <w:r w:rsidRPr="0015555A">
              <w:rPr>
                <w:lang w:val="de-DE"/>
              </w:rPr>
              <w:br/>
              <w:t>Tel.: +49 89 500778-20</w:t>
            </w:r>
            <w:r w:rsidRPr="0015555A">
              <w:rPr>
                <w:lang w:val="de-DE"/>
              </w:rPr>
              <w:br/>
              <w:t>Fax: +49 89 500778-77</w:t>
            </w:r>
            <w:r w:rsidRPr="0015555A">
              <w:rPr>
                <w:lang w:val="de-DE"/>
              </w:rPr>
              <w:br/>
              <w:t>E-Mail: b.basilio@htcm.de</w:t>
            </w:r>
            <w:r w:rsidRPr="0015555A">
              <w:rPr>
                <w:lang w:val="de-DE"/>
              </w:rPr>
              <w:br/>
              <w:t xml:space="preserve">Homepage: </w:t>
            </w:r>
            <w:hyperlink r:id="rId13" w:history="1">
              <w:r w:rsidRPr="0015555A">
                <w:rPr>
                  <w:lang w:val="de-DE"/>
                </w:rPr>
                <w:t>www.htcm.de</w:t>
              </w:r>
            </w:hyperlink>
          </w:p>
        </w:tc>
      </w:tr>
    </w:tbl>
    <w:p w14:paraId="52611F00" w14:textId="77777777" w:rsidR="009D7756" w:rsidRPr="00EC30C1" w:rsidRDefault="009D7756" w:rsidP="009B67DA">
      <w:pPr>
        <w:spacing w:after="120" w:line="280" w:lineRule="exact"/>
        <w:jc w:val="both"/>
        <w:rPr>
          <w:b/>
          <w:bCs/>
          <w:sz w:val="18"/>
          <w:szCs w:val="18"/>
        </w:rPr>
      </w:pPr>
    </w:p>
    <w:p w14:paraId="72EF2860" w14:textId="77777777" w:rsidR="00152F10" w:rsidRPr="00EC30C1" w:rsidRDefault="00152F10" w:rsidP="009B67DA">
      <w:pPr>
        <w:spacing w:after="120" w:line="280" w:lineRule="exact"/>
        <w:jc w:val="both"/>
        <w:rPr>
          <w:b/>
          <w:bCs/>
          <w:sz w:val="18"/>
          <w:szCs w:val="18"/>
        </w:rPr>
      </w:pPr>
    </w:p>
    <w:sectPr w:rsidR="00152F10" w:rsidRPr="00EC30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1BAD5" w14:textId="77777777" w:rsidR="00F07F7B" w:rsidRDefault="00F07F7B">
      <w:r>
        <w:separator/>
      </w:r>
    </w:p>
  </w:endnote>
  <w:endnote w:type="continuationSeparator" w:id="0">
    <w:p w14:paraId="5D7D52C1" w14:textId="77777777" w:rsidR="00F07F7B" w:rsidRDefault="00F0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1F77" w14:textId="77777777" w:rsidR="001D1484" w:rsidRDefault="001D1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8E8D" w14:textId="5FC9BAA7" w:rsidR="00AB2A8F" w:rsidRPr="001307A0" w:rsidRDefault="00AB2A8F" w:rsidP="00961618">
    <w:pPr>
      <w:pStyle w:val="Footer"/>
      <w:rPr>
        <w:lang w:val="en-US"/>
      </w:rPr>
    </w:pPr>
    <w:r>
      <w:rPr>
        <w:sz w:val="16"/>
        <w:szCs w:val="16"/>
        <w:lang w:val="en-US"/>
      </w:rPr>
      <w:fldChar w:fldCharType="begin"/>
    </w:r>
    <w:r w:rsidRPr="001307A0">
      <w:rPr>
        <w:sz w:val="16"/>
        <w:szCs w:val="16"/>
        <w:lang w:val="en-US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1D1484">
      <w:rPr>
        <w:noProof/>
        <w:sz w:val="16"/>
        <w:szCs w:val="16"/>
        <w:lang w:val="en-US"/>
      </w:rPr>
      <w:t>NRS1PI852.docx</w:t>
    </w:r>
    <w:r>
      <w:rPr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67D7" w14:textId="77777777" w:rsidR="001D1484" w:rsidRDefault="001D14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046C7" w14:textId="77777777" w:rsidR="00F07F7B" w:rsidRDefault="00F07F7B">
      <w:r>
        <w:separator/>
      </w:r>
    </w:p>
  </w:footnote>
  <w:footnote w:type="continuationSeparator" w:id="0">
    <w:p w14:paraId="65219401" w14:textId="77777777" w:rsidR="00F07F7B" w:rsidRDefault="00F07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F669" w14:textId="77777777" w:rsidR="001D1484" w:rsidRDefault="001D14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EE48" w14:textId="77777777" w:rsidR="00AB2A8F" w:rsidRDefault="00771B86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2306C9DD" wp14:editId="567AF6FB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0" b="0"/>
          <wp:wrapNone/>
          <wp:docPr id="4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F628" w14:textId="77777777" w:rsidR="001D1484" w:rsidRDefault="001D14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37882CD2"/>
    <w:multiLevelType w:val="hybridMultilevel"/>
    <w:tmpl w:val="420C5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373398">
    <w:abstractNumId w:val="0"/>
  </w:num>
  <w:num w:numId="2" w16cid:durableId="711416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1"/>
    <w:rsid w:val="00000D28"/>
    <w:rsid w:val="00005E36"/>
    <w:rsid w:val="0001080E"/>
    <w:rsid w:val="000152D3"/>
    <w:rsid w:val="00015BE9"/>
    <w:rsid w:val="00020D49"/>
    <w:rsid w:val="00021340"/>
    <w:rsid w:val="00024FC1"/>
    <w:rsid w:val="00025671"/>
    <w:rsid w:val="00025F84"/>
    <w:rsid w:val="000324F0"/>
    <w:rsid w:val="00032C67"/>
    <w:rsid w:val="00042EF8"/>
    <w:rsid w:val="0005582F"/>
    <w:rsid w:val="0005589D"/>
    <w:rsid w:val="00061BFC"/>
    <w:rsid w:val="00063B9A"/>
    <w:rsid w:val="000733F9"/>
    <w:rsid w:val="00077564"/>
    <w:rsid w:val="00082B45"/>
    <w:rsid w:val="000914B0"/>
    <w:rsid w:val="00091C70"/>
    <w:rsid w:val="000920F7"/>
    <w:rsid w:val="00092713"/>
    <w:rsid w:val="00094CF5"/>
    <w:rsid w:val="000A3685"/>
    <w:rsid w:val="000A561C"/>
    <w:rsid w:val="000A59E6"/>
    <w:rsid w:val="000A706F"/>
    <w:rsid w:val="000A7345"/>
    <w:rsid w:val="000B5B5B"/>
    <w:rsid w:val="000B7A95"/>
    <w:rsid w:val="000C18CF"/>
    <w:rsid w:val="000D2766"/>
    <w:rsid w:val="000E20D8"/>
    <w:rsid w:val="000E480D"/>
    <w:rsid w:val="000F2110"/>
    <w:rsid w:val="000F4E33"/>
    <w:rsid w:val="000F62E7"/>
    <w:rsid w:val="000F6B96"/>
    <w:rsid w:val="001019DE"/>
    <w:rsid w:val="001022FA"/>
    <w:rsid w:val="001025A1"/>
    <w:rsid w:val="00103A36"/>
    <w:rsid w:val="0010470B"/>
    <w:rsid w:val="00105545"/>
    <w:rsid w:val="00122781"/>
    <w:rsid w:val="001265AF"/>
    <w:rsid w:val="001307A0"/>
    <w:rsid w:val="00136694"/>
    <w:rsid w:val="00137E06"/>
    <w:rsid w:val="0014058D"/>
    <w:rsid w:val="00140AF2"/>
    <w:rsid w:val="00141E71"/>
    <w:rsid w:val="00142B8B"/>
    <w:rsid w:val="0014552F"/>
    <w:rsid w:val="00152C84"/>
    <w:rsid w:val="00152F10"/>
    <w:rsid w:val="00154710"/>
    <w:rsid w:val="00155041"/>
    <w:rsid w:val="00156EA2"/>
    <w:rsid w:val="00161EC1"/>
    <w:rsid w:val="00162E04"/>
    <w:rsid w:val="00163B15"/>
    <w:rsid w:val="00166DA7"/>
    <w:rsid w:val="00170248"/>
    <w:rsid w:val="00172A81"/>
    <w:rsid w:val="001735E0"/>
    <w:rsid w:val="00176E41"/>
    <w:rsid w:val="001A4344"/>
    <w:rsid w:val="001A6B82"/>
    <w:rsid w:val="001B66D2"/>
    <w:rsid w:val="001D1484"/>
    <w:rsid w:val="001E30B2"/>
    <w:rsid w:val="001E366E"/>
    <w:rsid w:val="001E4499"/>
    <w:rsid w:val="001E5877"/>
    <w:rsid w:val="001F3E40"/>
    <w:rsid w:val="001F3FB8"/>
    <w:rsid w:val="001F7DAF"/>
    <w:rsid w:val="00203CEA"/>
    <w:rsid w:val="002049B1"/>
    <w:rsid w:val="00204D16"/>
    <w:rsid w:val="00214235"/>
    <w:rsid w:val="00215492"/>
    <w:rsid w:val="002154F6"/>
    <w:rsid w:val="00236B4F"/>
    <w:rsid w:val="00237C76"/>
    <w:rsid w:val="00241089"/>
    <w:rsid w:val="00244049"/>
    <w:rsid w:val="00247A9A"/>
    <w:rsid w:val="002516A2"/>
    <w:rsid w:val="00285170"/>
    <w:rsid w:val="00286E65"/>
    <w:rsid w:val="002A0A7A"/>
    <w:rsid w:val="002A4007"/>
    <w:rsid w:val="002B1948"/>
    <w:rsid w:val="002B28A9"/>
    <w:rsid w:val="002B32AD"/>
    <w:rsid w:val="002B672E"/>
    <w:rsid w:val="002C2E0C"/>
    <w:rsid w:val="002C379C"/>
    <w:rsid w:val="002C447F"/>
    <w:rsid w:val="002E0C6A"/>
    <w:rsid w:val="002E1C1C"/>
    <w:rsid w:val="002E75B3"/>
    <w:rsid w:val="002F2DE3"/>
    <w:rsid w:val="002F67F5"/>
    <w:rsid w:val="0030103D"/>
    <w:rsid w:val="00302106"/>
    <w:rsid w:val="00303061"/>
    <w:rsid w:val="00304853"/>
    <w:rsid w:val="00304E8B"/>
    <w:rsid w:val="00306275"/>
    <w:rsid w:val="0031436D"/>
    <w:rsid w:val="00317499"/>
    <w:rsid w:val="003334CD"/>
    <w:rsid w:val="00335F45"/>
    <w:rsid w:val="00342187"/>
    <w:rsid w:val="0034282F"/>
    <w:rsid w:val="003623CD"/>
    <w:rsid w:val="00363969"/>
    <w:rsid w:val="00374301"/>
    <w:rsid w:val="0037765D"/>
    <w:rsid w:val="00380463"/>
    <w:rsid w:val="0038420F"/>
    <w:rsid w:val="00385C3F"/>
    <w:rsid w:val="003963CA"/>
    <w:rsid w:val="003A1FE1"/>
    <w:rsid w:val="003A3DBF"/>
    <w:rsid w:val="003A6818"/>
    <w:rsid w:val="003B251C"/>
    <w:rsid w:val="003B412F"/>
    <w:rsid w:val="003B530B"/>
    <w:rsid w:val="003D05DD"/>
    <w:rsid w:val="003D6308"/>
    <w:rsid w:val="003E4EC7"/>
    <w:rsid w:val="003E6BCE"/>
    <w:rsid w:val="004418AD"/>
    <w:rsid w:val="004429D7"/>
    <w:rsid w:val="00444570"/>
    <w:rsid w:val="00452F67"/>
    <w:rsid w:val="004674B7"/>
    <w:rsid w:val="00470914"/>
    <w:rsid w:val="004746B0"/>
    <w:rsid w:val="00477162"/>
    <w:rsid w:val="00477DD8"/>
    <w:rsid w:val="00481FC3"/>
    <w:rsid w:val="004829D5"/>
    <w:rsid w:val="0049461E"/>
    <w:rsid w:val="00496B1B"/>
    <w:rsid w:val="004A3DDE"/>
    <w:rsid w:val="004A4F37"/>
    <w:rsid w:val="004A6077"/>
    <w:rsid w:val="004A7C28"/>
    <w:rsid w:val="004B3A58"/>
    <w:rsid w:val="004B4253"/>
    <w:rsid w:val="004B61A9"/>
    <w:rsid w:val="004C3D7C"/>
    <w:rsid w:val="004D52FD"/>
    <w:rsid w:val="004E15D7"/>
    <w:rsid w:val="004E24FF"/>
    <w:rsid w:val="004E689A"/>
    <w:rsid w:val="004E728F"/>
    <w:rsid w:val="004F365D"/>
    <w:rsid w:val="004F696C"/>
    <w:rsid w:val="004F7916"/>
    <w:rsid w:val="00503C9A"/>
    <w:rsid w:val="00512B8B"/>
    <w:rsid w:val="00515B8B"/>
    <w:rsid w:val="00524942"/>
    <w:rsid w:val="00525C27"/>
    <w:rsid w:val="00526A92"/>
    <w:rsid w:val="005352B8"/>
    <w:rsid w:val="005354E7"/>
    <w:rsid w:val="005448E9"/>
    <w:rsid w:val="00554651"/>
    <w:rsid w:val="00556A72"/>
    <w:rsid w:val="005574E4"/>
    <w:rsid w:val="00557661"/>
    <w:rsid w:val="0056312C"/>
    <w:rsid w:val="005664F3"/>
    <w:rsid w:val="0057462C"/>
    <w:rsid w:val="00576949"/>
    <w:rsid w:val="00580ED9"/>
    <w:rsid w:val="00582A1A"/>
    <w:rsid w:val="00587244"/>
    <w:rsid w:val="0059124A"/>
    <w:rsid w:val="00592283"/>
    <w:rsid w:val="00595B7F"/>
    <w:rsid w:val="00595EB3"/>
    <w:rsid w:val="005B008B"/>
    <w:rsid w:val="005B1D53"/>
    <w:rsid w:val="005B33BD"/>
    <w:rsid w:val="005C2135"/>
    <w:rsid w:val="005D085B"/>
    <w:rsid w:val="005E0662"/>
    <w:rsid w:val="005E434D"/>
    <w:rsid w:val="005F035A"/>
    <w:rsid w:val="005F1471"/>
    <w:rsid w:val="005F169B"/>
    <w:rsid w:val="005F1910"/>
    <w:rsid w:val="00606419"/>
    <w:rsid w:val="00611E17"/>
    <w:rsid w:val="006143A6"/>
    <w:rsid w:val="00616750"/>
    <w:rsid w:val="006204D5"/>
    <w:rsid w:val="006207B7"/>
    <w:rsid w:val="00620928"/>
    <w:rsid w:val="00622BA1"/>
    <w:rsid w:val="0063195A"/>
    <w:rsid w:val="006325AC"/>
    <w:rsid w:val="00632FCD"/>
    <w:rsid w:val="00635B18"/>
    <w:rsid w:val="0064014C"/>
    <w:rsid w:val="0064364D"/>
    <w:rsid w:val="00647671"/>
    <w:rsid w:val="00657020"/>
    <w:rsid w:val="0066469F"/>
    <w:rsid w:val="00667790"/>
    <w:rsid w:val="00672A0C"/>
    <w:rsid w:val="006739A0"/>
    <w:rsid w:val="006A2095"/>
    <w:rsid w:val="006A2304"/>
    <w:rsid w:val="006B7861"/>
    <w:rsid w:val="006C09FB"/>
    <w:rsid w:val="006C0D4A"/>
    <w:rsid w:val="006C45C6"/>
    <w:rsid w:val="006C50CA"/>
    <w:rsid w:val="006C5AF7"/>
    <w:rsid w:val="006D122E"/>
    <w:rsid w:val="006D2717"/>
    <w:rsid w:val="006D3E5D"/>
    <w:rsid w:val="006D462B"/>
    <w:rsid w:val="006F1861"/>
    <w:rsid w:val="006F4FAC"/>
    <w:rsid w:val="00701493"/>
    <w:rsid w:val="00703587"/>
    <w:rsid w:val="00703D30"/>
    <w:rsid w:val="0071156A"/>
    <w:rsid w:val="00711F1B"/>
    <w:rsid w:val="0071539C"/>
    <w:rsid w:val="00715C75"/>
    <w:rsid w:val="00717C62"/>
    <w:rsid w:val="007220BF"/>
    <w:rsid w:val="007353A9"/>
    <w:rsid w:val="007407B0"/>
    <w:rsid w:val="00744A2D"/>
    <w:rsid w:val="00745E4F"/>
    <w:rsid w:val="00747AF9"/>
    <w:rsid w:val="00751ABE"/>
    <w:rsid w:val="00763B15"/>
    <w:rsid w:val="00763C3B"/>
    <w:rsid w:val="0076491A"/>
    <w:rsid w:val="00766A3C"/>
    <w:rsid w:val="00771B86"/>
    <w:rsid w:val="00772D41"/>
    <w:rsid w:val="00774AE1"/>
    <w:rsid w:val="00774F34"/>
    <w:rsid w:val="007760BC"/>
    <w:rsid w:val="00776C75"/>
    <w:rsid w:val="00784FDD"/>
    <w:rsid w:val="0079084B"/>
    <w:rsid w:val="00790B68"/>
    <w:rsid w:val="007A0C13"/>
    <w:rsid w:val="007A0C93"/>
    <w:rsid w:val="007A31C1"/>
    <w:rsid w:val="007A7CD7"/>
    <w:rsid w:val="007B1351"/>
    <w:rsid w:val="007B3DA5"/>
    <w:rsid w:val="007B4F7E"/>
    <w:rsid w:val="007B7E7F"/>
    <w:rsid w:val="007C251A"/>
    <w:rsid w:val="007C5FE3"/>
    <w:rsid w:val="007D471F"/>
    <w:rsid w:val="007F3EE2"/>
    <w:rsid w:val="007F6ECE"/>
    <w:rsid w:val="0081450A"/>
    <w:rsid w:val="0081451C"/>
    <w:rsid w:val="00821E51"/>
    <w:rsid w:val="0082306B"/>
    <w:rsid w:val="0084340D"/>
    <w:rsid w:val="00870C1D"/>
    <w:rsid w:val="008764C8"/>
    <w:rsid w:val="008772AB"/>
    <w:rsid w:val="00877609"/>
    <w:rsid w:val="008839C5"/>
    <w:rsid w:val="008856E0"/>
    <w:rsid w:val="008915E0"/>
    <w:rsid w:val="00891702"/>
    <w:rsid w:val="00892D08"/>
    <w:rsid w:val="008A31CD"/>
    <w:rsid w:val="008A3977"/>
    <w:rsid w:val="008A400A"/>
    <w:rsid w:val="008B0EC7"/>
    <w:rsid w:val="008B4015"/>
    <w:rsid w:val="008B5315"/>
    <w:rsid w:val="008C2DC8"/>
    <w:rsid w:val="008C4B6D"/>
    <w:rsid w:val="008C6866"/>
    <w:rsid w:val="008D6F69"/>
    <w:rsid w:val="008E06D2"/>
    <w:rsid w:val="008E09D5"/>
    <w:rsid w:val="008E0CC7"/>
    <w:rsid w:val="008E2ACA"/>
    <w:rsid w:val="008E562D"/>
    <w:rsid w:val="008F1DF5"/>
    <w:rsid w:val="008F236B"/>
    <w:rsid w:val="009016A0"/>
    <w:rsid w:val="0090654C"/>
    <w:rsid w:val="00906D37"/>
    <w:rsid w:val="00906F61"/>
    <w:rsid w:val="00914E64"/>
    <w:rsid w:val="009153E5"/>
    <w:rsid w:val="00915C2E"/>
    <w:rsid w:val="00916ED5"/>
    <w:rsid w:val="009206E5"/>
    <w:rsid w:val="009213A3"/>
    <w:rsid w:val="0092177E"/>
    <w:rsid w:val="0092187D"/>
    <w:rsid w:val="00925830"/>
    <w:rsid w:val="009320E8"/>
    <w:rsid w:val="00940B69"/>
    <w:rsid w:val="00943884"/>
    <w:rsid w:val="00946A77"/>
    <w:rsid w:val="00946ACD"/>
    <w:rsid w:val="00954179"/>
    <w:rsid w:val="009552B4"/>
    <w:rsid w:val="009571E1"/>
    <w:rsid w:val="00961618"/>
    <w:rsid w:val="00972F34"/>
    <w:rsid w:val="009745D2"/>
    <w:rsid w:val="0098611F"/>
    <w:rsid w:val="009937A4"/>
    <w:rsid w:val="009B5228"/>
    <w:rsid w:val="009B5FDF"/>
    <w:rsid w:val="009B67DA"/>
    <w:rsid w:val="009C14B7"/>
    <w:rsid w:val="009C18DD"/>
    <w:rsid w:val="009C24D3"/>
    <w:rsid w:val="009D1396"/>
    <w:rsid w:val="009D5D16"/>
    <w:rsid w:val="009D7756"/>
    <w:rsid w:val="009D7E0A"/>
    <w:rsid w:val="009E03F0"/>
    <w:rsid w:val="009E10BE"/>
    <w:rsid w:val="009E4080"/>
    <w:rsid w:val="009E66F9"/>
    <w:rsid w:val="009F3E73"/>
    <w:rsid w:val="009F4188"/>
    <w:rsid w:val="009F65A5"/>
    <w:rsid w:val="009F7CD3"/>
    <w:rsid w:val="00A00994"/>
    <w:rsid w:val="00A1070F"/>
    <w:rsid w:val="00A15E82"/>
    <w:rsid w:val="00A208BA"/>
    <w:rsid w:val="00A231D8"/>
    <w:rsid w:val="00A25E26"/>
    <w:rsid w:val="00A26FB9"/>
    <w:rsid w:val="00A40F85"/>
    <w:rsid w:val="00A410ED"/>
    <w:rsid w:val="00A55A03"/>
    <w:rsid w:val="00A56217"/>
    <w:rsid w:val="00A63CA0"/>
    <w:rsid w:val="00A9270E"/>
    <w:rsid w:val="00AA4078"/>
    <w:rsid w:val="00AB1D7B"/>
    <w:rsid w:val="00AB2A8F"/>
    <w:rsid w:val="00AD2D17"/>
    <w:rsid w:val="00AD7998"/>
    <w:rsid w:val="00AE5409"/>
    <w:rsid w:val="00AF2BF3"/>
    <w:rsid w:val="00AF2C22"/>
    <w:rsid w:val="00B0088D"/>
    <w:rsid w:val="00B00EDB"/>
    <w:rsid w:val="00B107E8"/>
    <w:rsid w:val="00B11D14"/>
    <w:rsid w:val="00B159A2"/>
    <w:rsid w:val="00B1610A"/>
    <w:rsid w:val="00B213EB"/>
    <w:rsid w:val="00B36BF2"/>
    <w:rsid w:val="00B40626"/>
    <w:rsid w:val="00B41CCC"/>
    <w:rsid w:val="00B4308B"/>
    <w:rsid w:val="00B47D48"/>
    <w:rsid w:val="00B50771"/>
    <w:rsid w:val="00B57F83"/>
    <w:rsid w:val="00B63874"/>
    <w:rsid w:val="00B6653C"/>
    <w:rsid w:val="00B67D0E"/>
    <w:rsid w:val="00B70418"/>
    <w:rsid w:val="00B81A64"/>
    <w:rsid w:val="00B84FEB"/>
    <w:rsid w:val="00B859A4"/>
    <w:rsid w:val="00B86322"/>
    <w:rsid w:val="00B86B72"/>
    <w:rsid w:val="00B91AA0"/>
    <w:rsid w:val="00B94569"/>
    <w:rsid w:val="00BA7BBC"/>
    <w:rsid w:val="00BB0B79"/>
    <w:rsid w:val="00BB68AC"/>
    <w:rsid w:val="00BC1E01"/>
    <w:rsid w:val="00BC2148"/>
    <w:rsid w:val="00BC2B85"/>
    <w:rsid w:val="00BC2BCD"/>
    <w:rsid w:val="00BC2D2B"/>
    <w:rsid w:val="00BD25F6"/>
    <w:rsid w:val="00BE273C"/>
    <w:rsid w:val="00BE5D3B"/>
    <w:rsid w:val="00BE7CF1"/>
    <w:rsid w:val="00BF049E"/>
    <w:rsid w:val="00BF32FE"/>
    <w:rsid w:val="00C033B3"/>
    <w:rsid w:val="00C13F81"/>
    <w:rsid w:val="00C26762"/>
    <w:rsid w:val="00C35655"/>
    <w:rsid w:val="00C4092B"/>
    <w:rsid w:val="00C42157"/>
    <w:rsid w:val="00C47EE3"/>
    <w:rsid w:val="00C50FCA"/>
    <w:rsid w:val="00C63D72"/>
    <w:rsid w:val="00C67869"/>
    <w:rsid w:val="00C70A57"/>
    <w:rsid w:val="00C7675A"/>
    <w:rsid w:val="00C810A4"/>
    <w:rsid w:val="00C878B4"/>
    <w:rsid w:val="00C90EA5"/>
    <w:rsid w:val="00C91468"/>
    <w:rsid w:val="00C9390C"/>
    <w:rsid w:val="00C941B6"/>
    <w:rsid w:val="00CA0E35"/>
    <w:rsid w:val="00CA2AC7"/>
    <w:rsid w:val="00CA2BCD"/>
    <w:rsid w:val="00CA4542"/>
    <w:rsid w:val="00CA50D8"/>
    <w:rsid w:val="00CB14BA"/>
    <w:rsid w:val="00CB7ACC"/>
    <w:rsid w:val="00CC09AE"/>
    <w:rsid w:val="00CC5DF0"/>
    <w:rsid w:val="00CC6C03"/>
    <w:rsid w:val="00CD3B82"/>
    <w:rsid w:val="00CD5541"/>
    <w:rsid w:val="00CD6167"/>
    <w:rsid w:val="00CE6457"/>
    <w:rsid w:val="00CF0A34"/>
    <w:rsid w:val="00CF6753"/>
    <w:rsid w:val="00CF6C73"/>
    <w:rsid w:val="00CF752E"/>
    <w:rsid w:val="00CF77E5"/>
    <w:rsid w:val="00D024A8"/>
    <w:rsid w:val="00D03277"/>
    <w:rsid w:val="00D03779"/>
    <w:rsid w:val="00D04964"/>
    <w:rsid w:val="00D11CFB"/>
    <w:rsid w:val="00D225C4"/>
    <w:rsid w:val="00D24A81"/>
    <w:rsid w:val="00D25E76"/>
    <w:rsid w:val="00D26228"/>
    <w:rsid w:val="00D30900"/>
    <w:rsid w:val="00D315E5"/>
    <w:rsid w:val="00D34710"/>
    <w:rsid w:val="00D36C46"/>
    <w:rsid w:val="00D433A6"/>
    <w:rsid w:val="00D54105"/>
    <w:rsid w:val="00D55E76"/>
    <w:rsid w:val="00D5699E"/>
    <w:rsid w:val="00D602C9"/>
    <w:rsid w:val="00D65954"/>
    <w:rsid w:val="00D75A77"/>
    <w:rsid w:val="00D84319"/>
    <w:rsid w:val="00D8452C"/>
    <w:rsid w:val="00D87ED7"/>
    <w:rsid w:val="00D94FDC"/>
    <w:rsid w:val="00D97CEB"/>
    <w:rsid w:val="00DA7AD2"/>
    <w:rsid w:val="00DB6E36"/>
    <w:rsid w:val="00DC074E"/>
    <w:rsid w:val="00DC1186"/>
    <w:rsid w:val="00DC1396"/>
    <w:rsid w:val="00DD189B"/>
    <w:rsid w:val="00DE1EE0"/>
    <w:rsid w:val="00DE28B1"/>
    <w:rsid w:val="00DE617B"/>
    <w:rsid w:val="00DF27A3"/>
    <w:rsid w:val="00DF6F38"/>
    <w:rsid w:val="00E03D6A"/>
    <w:rsid w:val="00E10132"/>
    <w:rsid w:val="00E15089"/>
    <w:rsid w:val="00E25C94"/>
    <w:rsid w:val="00E349C2"/>
    <w:rsid w:val="00E37DE8"/>
    <w:rsid w:val="00E4356A"/>
    <w:rsid w:val="00E44C40"/>
    <w:rsid w:val="00E523ED"/>
    <w:rsid w:val="00E55899"/>
    <w:rsid w:val="00E60C94"/>
    <w:rsid w:val="00E62DC3"/>
    <w:rsid w:val="00E64C83"/>
    <w:rsid w:val="00E65AC8"/>
    <w:rsid w:val="00E664DA"/>
    <w:rsid w:val="00E723A4"/>
    <w:rsid w:val="00E72D73"/>
    <w:rsid w:val="00E74E18"/>
    <w:rsid w:val="00E802B8"/>
    <w:rsid w:val="00E82ACA"/>
    <w:rsid w:val="00E8371F"/>
    <w:rsid w:val="00E92B86"/>
    <w:rsid w:val="00E943F3"/>
    <w:rsid w:val="00EA2B03"/>
    <w:rsid w:val="00EB45AD"/>
    <w:rsid w:val="00EB60DC"/>
    <w:rsid w:val="00EC30C1"/>
    <w:rsid w:val="00EC75E0"/>
    <w:rsid w:val="00ED3958"/>
    <w:rsid w:val="00ED3C5A"/>
    <w:rsid w:val="00ED7EC9"/>
    <w:rsid w:val="00EE00F9"/>
    <w:rsid w:val="00EE0250"/>
    <w:rsid w:val="00EE2F2E"/>
    <w:rsid w:val="00EE3CCD"/>
    <w:rsid w:val="00EE3CD7"/>
    <w:rsid w:val="00EF47FE"/>
    <w:rsid w:val="00F007E6"/>
    <w:rsid w:val="00F019CD"/>
    <w:rsid w:val="00F01B7B"/>
    <w:rsid w:val="00F04EE8"/>
    <w:rsid w:val="00F07F7B"/>
    <w:rsid w:val="00F1298B"/>
    <w:rsid w:val="00F2144A"/>
    <w:rsid w:val="00F26181"/>
    <w:rsid w:val="00F26DBD"/>
    <w:rsid w:val="00F27651"/>
    <w:rsid w:val="00F35C58"/>
    <w:rsid w:val="00F37C16"/>
    <w:rsid w:val="00F423F9"/>
    <w:rsid w:val="00F465F7"/>
    <w:rsid w:val="00F50F93"/>
    <w:rsid w:val="00F55ECF"/>
    <w:rsid w:val="00F60F5C"/>
    <w:rsid w:val="00F6285D"/>
    <w:rsid w:val="00F633CC"/>
    <w:rsid w:val="00F646D2"/>
    <w:rsid w:val="00F678F3"/>
    <w:rsid w:val="00F67C43"/>
    <w:rsid w:val="00F75746"/>
    <w:rsid w:val="00F80166"/>
    <w:rsid w:val="00F82158"/>
    <w:rsid w:val="00F847D9"/>
    <w:rsid w:val="00F9087E"/>
    <w:rsid w:val="00F94CF9"/>
    <w:rsid w:val="00F94D14"/>
    <w:rsid w:val="00FA3955"/>
    <w:rsid w:val="00FB3963"/>
    <w:rsid w:val="00FB587B"/>
    <w:rsid w:val="00FC2E12"/>
    <w:rsid w:val="00FC3221"/>
    <w:rsid w:val="00FC6F2E"/>
    <w:rsid w:val="00FC7714"/>
    <w:rsid w:val="00FC7EDA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1C6FFB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Heading1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PageNumber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semiHidden/>
    <w:pPr>
      <w:spacing w:after="120" w:line="280" w:lineRule="exact"/>
      <w:jc w:val="center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ITextkrper">
    <w:name w:val="PI_Textkörper"/>
    <w:basedOn w:val="Normal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Normal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Normal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Normal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Normal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Normal"/>
    <w:rPr>
      <w:sz w:val="20"/>
      <w:szCs w:val="20"/>
    </w:rPr>
  </w:style>
  <w:style w:type="paragraph" w:customStyle="1" w:styleId="txt">
    <w:name w:val="txt"/>
    <w:basedOn w:val="Normal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Normal"/>
    <w:pPr>
      <w:overflowPunct/>
      <w:autoSpaceDE/>
      <w:textAlignment w:val="auto"/>
    </w:pPr>
    <w:rPr>
      <w:lang w:val="de-DE"/>
    </w:rPr>
  </w:style>
  <w:style w:type="paragraph" w:styleId="BalloonText">
    <w:name w:val="Balloon Text"/>
    <w:basedOn w:val="Normal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CommentSubject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Normal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Normal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Normal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PlainTextChar">
    <w:name w:val="Plain Text Char"/>
    <w:link w:val="Plain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  <w:style w:type="paragraph" w:styleId="ListParagraph">
    <w:name w:val="List Paragraph"/>
    <w:basedOn w:val="Normal"/>
    <w:uiPriority w:val="34"/>
    <w:qFormat/>
    <w:rsid w:val="000558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7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tcm.d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kk.htcm.de/press-releases/noris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sa365.de/de-de/actions-events/2022/it-sa-expo-foren-2022/knowledge-d/it-security-effizient-gemanaged-nicht-nur-eine-frage-der-tools-noris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E355-D791-44FC-BF49-99520743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5418</Characters>
  <Application>Microsoft Office Word</Application>
  <DocSecurity>0</DocSecurity>
  <Lines>142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6157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Tobias Steininger</dc:creator>
  <cp:keywords/>
  <cp:lastModifiedBy>Jennifer Lauber</cp:lastModifiedBy>
  <cp:revision>6</cp:revision>
  <cp:lastPrinted>2019-06-26T09:20:00Z</cp:lastPrinted>
  <dcterms:created xsi:type="dcterms:W3CDTF">2022-10-10T14:48:00Z</dcterms:created>
  <dcterms:modified xsi:type="dcterms:W3CDTF">2022-10-11T12:09:00Z</dcterms:modified>
</cp:coreProperties>
</file>