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77777777" w:rsidR="00B91AA0" w:rsidRPr="009016A0" w:rsidRDefault="00B91AA0" w:rsidP="00B91AA0">
      <w:pPr>
        <w:pStyle w:val="Presseinformation"/>
      </w:pPr>
      <w:r w:rsidRPr="009016A0">
        <w:t>Medieninformation</w:t>
      </w:r>
    </w:p>
    <w:p w14:paraId="2C9CE58B" w14:textId="36DB79C4" w:rsidR="00B91AA0" w:rsidRPr="009016A0" w:rsidRDefault="008B20CE" w:rsidP="00B91AA0">
      <w:pPr>
        <w:pStyle w:val="PIHeadline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noris network AG gründet </w:t>
      </w:r>
      <w:bookmarkStart w:id="0" w:name="_Hlk115162213"/>
      <w:r w:rsidRPr="008B20CE">
        <w:rPr>
          <w:rFonts w:eastAsia="Times New Roman"/>
          <w:bCs/>
          <w:sz w:val="28"/>
        </w:rPr>
        <w:t>Proturity GmbH</w:t>
      </w:r>
      <w:bookmarkEnd w:id="0"/>
    </w:p>
    <w:p w14:paraId="1A1EDE70" w14:textId="6D336D27" w:rsidR="00B91AA0" w:rsidRDefault="005160F7" w:rsidP="00B91AA0">
      <w:pPr>
        <w:pStyle w:val="PIHeadline"/>
      </w:pPr>
      <w:r>
        <w:t>S</w:t>
      </w:r>
      <w:r w:rsidR="008B20CE">
        <w:t>ichere ServiceNow-Nutzung</w:t>
      </w:r>
      <w:r>
        <w:t xml:space="preserve"> in deutschen Rechenzentren</w:t>
      </w:r>
    </w:p>
    <w:p w14:paraId="2D483978" w14:textId="654B211F" w:rsidR="00B91AA0" w:rsidRPr="008B20CE" w:rsidRDefault="00B91AA0" w:rsidP="008B20CE">
      <w:pPr>
        <w:pStyle w:val="PIZwischen-Head"/>
        <w:rPr>
          <w:lang w:val="de-DE"/>
        </w:rPr>
      </w:pPr>
      <w:r w:rsidRPr="008B20CE">
        <w:rPr>
          <w:lang w:val="de-DE"/>
        </w:rPr>
        <w:t xml:space="preserve">Nürnberg, </w:t>
      </w:r>
      <w:r w:rsidR="002174B0">
        <w:rPr>
          <w:lang w:val="de-DE"/>
        </w:rPr>
        <w:t>29</w:t>
      </w:r>
      <w:r w:rsidRPr="008B20CE">
        <w:rPr>
          <w:lang w:val="de-DE"/>
        </w:rPr>
        <w:t xml:space="preserve">. </w:t>
      </w:r>
      <w:r w:rsidR="002174B0">
        <w:rPr>
          <w:lang w:val="de-DE"/>
        </w:rPr>
        <w:t>September</w:t>
      </w:r>
      <w:r w:rsidRPr="008B20CE">
        <w:rPr>
          <w:lang w:val="de-DE"/>
        </w:rPr>
        <w:t xml:space="preserve"> 20</w:t>
      </w:r>
      <w:r w:rsidR="00557661" w:rsidRPr="008B20CE">
        <w:rPr>
          <w:lang w:val="de-DE"/>
        </w:rPr>
        <w:t>2</w:t>
      </w:r>
      <w:r w:rsidR="000A561C" w:rsidRPr="008B20CE">
        <w:rPr>
          <w:lang w:val="de-DE"/>
        </w:rPr>
        <w:t>2</w:t>
      </w:r>
      <w:r w:rsidRPr="008B20CE">
        <w:rPr>
          <w:lang w:val="de-DE"/>
        </w:rPr>
        <w:t xml:space="preserve"> – </w:t>
      </w:r>
      <w:proofErr w:type="spellStart"/>
      <w:r w:rsidR="008B20CE" w:rsidRPr="008B20CE">
        <w:rPr>
          <w:lang w:val="de-DE"/>
        </w:rPr>
        <w:t>noris</w:t>
      </w:r>
      <w:proofErr w:type="spellEnd"/>
      <w:r w:rsidR="008B20CE" w:rsidRPr="008B20CE">
        <w:rPr>
          <w:lang w:val="de-DE"/>
        </w:rPr>
        <w:t xml:space="preserve"> network AG und die Service-Management-Experten </w:t>
      </w:r>
      <w:r w:rsidR="008B20CE" w:rsidRPr="00723A1F">
        <w:rPr>
          <w:lang w:val="de-DE"/>
        </w:rPr>
        <w:t xml:space="preserve">Peter </w:t>
      </w:r>
      <w:proofErr w:type="spellStart"/>
      <w:r w:rsidR="008B20CE" w:rsidRPr="00723A1F">
        <w:rPr>
          <w:lang w:val="de-DE"/>
        </w:rPr>
        <w:t>Haitz</w:t>
      </w:r>
      <w:proofErr w:type="spellEnd"/>
      <w:r w:rsidR="008B20CE">
        <w:rPr>
          <w:lang w:val="de-DE"/>
        </w:rPr>
        <w:t xml:space="preserve"> </w:t>
      </w:r>
      <w:r w:rsidR="00474A78">
        <w:rPr>
          <w:lang w:val="de-DE"/>
        </w:rPr>
        <w:t xml:space="preserve">sowie </w:t>
      </w:r>
      <w:r w:rsidR="008B20CE" w:rsidRPr="00723A1F">
        <w:rPr>
          <w:lang w:val="de-DE"/>
        </w:rPr>
        <w:t xml:space="preserve">Frederik </w:t>
      </w:r>
      <w:proofErr w:type="spellStart"/>
      <w:r w:rsidR="008B20CE" w:rsidRPr="00723A1F">
        <w:rPr>
          <w:lang w:val="de-DE"/>
        </w:rPr>
        <w:t>Ranninger</w:t>
      </w:r>
      <w:proofErr w:type="spellEnd"/>
      <w:r w:rsidR="008B20CE">
        <w:rPr>
          <w:lang w:val="de-DE"/>
        </w:rPr>
        <w:t xml:space="preserve"> haben</w:t>
      </w:r>
      <w:r w:rsidR="00796530">
        <w:rPr>
          <w:lang w:val="de-DE"/>
        </w:rPr>
        <w:t xml:space="preserve"> gemeinsam</w:t>
      </w:r>
      <w:r w:rsidR="00861FD8">
        <w:rPr>
          <w:lang w:val="de-DE"/>
        </w:rPr>
        <w:t xml:space="preserve"> </w:t>
      </w:r>
      <w:r w:rsidR="008B20CE">
        <w:rPr>
          <w:lang w:val="de-DE"/>
        </w:rPr>
        <w:t xml:space="preserve">die </w:t>
      </w:r>
      <w:proofErr w:type="spellStart"/>
      <w:r w:rsidR="00796530" w:rsidRPr="00796530">
        <w:rPr>
          <w:lang w:val="de-DE"/>
        </w:rPr>
        <w:t>Proturity</w:t>
      </w:r>
      <w:proofErr w:type="spellEnd"/>
      <w:r w:rsidR="00796530" w:rsidRPr="00796530">
        <w:rPr>
          <w:lang w:val="de-DE"/>
        </w:rPr>
        <w:t xml:space="preserve"> GmbH</w:t>
      </w:r>
      <w:r w:rsidR="00796530">
        <w:rPr>
          <w:lang w:val="de-DE"/>
        </w:rPr>
        <w:t xml:space="preserve"> gegründet. Ziel ist es, </w:t>
      </w:r>
      <w:r w:rsidR="003D47C6">
        <w:rPr>
          <w:lang w:val="de-DE"/>
        </w:rPr>
        <w:t xml:space="preserve">Unternehmen mit </w:t>
      </w:r>
      <w:r w:rsidR="00242AF9">
        <w:rPr>
          <w:lang w:val="de-DE"/>
        </w:rPr>
        <w:t xml:space="preserve">hohen Sicherheitsanforderungen </w:t>
      </w:r>
      <w:r w:rsidR="00BB011D">
        <w:rPr>
          <w:lang w:val="de-DE"/>
        </w:rPr>
        <w:t>und</w:t>
      </w:r>
      <w:r w:rsidR="00242AF9">
        <w:rPr>
          <w:lang w:val="de-DE"/>
        </w:rPr>
        <w:t xml:space="preserve"> KRITIS-Unternehmen </w:t>
      </w:r>
      <w:r w:rsidR="0060537D">
        <w:rPr>
          <w:lang w:val="de-DE"/>
        </w:rPr>
        <w:t xml:space="preserve">eine </w:t>
      </w:r>
      <w:r w:rsidR="00796530">
        <w:rPr>
          <w:lang w:val="de-DE"/>
        </w:rPr>
        <w:t>sichere Nutzung</w:t>
      </w:r>
      <w:r w:rsidR="00796530" w:rsidRPr="00796530">
        <w:rPr>
          <w:lang w:val="de-DE"/>
        </w:rPr>
        <w:t xml:space="preserve"> </w:t>
      </w:r>
      <w:r w:rsidR="00474A78">
        <w:rPr>
          <w:lang w:val="de-DE"/>
        </w:rPr>
        <w:t xml:space="preserve">von </w:t>
      </w:r>
      <w:r w:rsidR="00796530">
        <w:rPr>
          <w:lang w:val="de-DE"/>
        </w:rPr>
        <w:t>ServiceNow zu ermöglichen</w:t>
      </w:r>
      <w:r w:rsidR="00861FD8">
        <w:rPr>
          <w:lang w:val="de-DE"/>
        </w:rPr>
        <w:t>:</w:t>
      </w:r>
      <w:r w:rsidR="00796530">
        <w:rPr>
          <w:lang w:val="de-DE"/>
        </w:rPr>
        <w:t xml:space="preserve"> </w:t>
      </w:r>
      <w:r w:rsidR="00861FD8">
        <w:rPr>
          <w:lang w:val="de-DE"/>
        </w:rPr>
        <w:t>Proturity übernimmt</w:t>
      </w:r>
      <w:r w:rsidR="00796530">
        <w:rPr>
          <w:lang w:val="de-DE"/>
        </w:rPr>
        <w:t xml:space="preserve"> </w:t>
      </w:r>
      <w:r w:rsidR="00861FD8">
        <w:rPr>
          <w:lang w:val="de-DE"/>
        </w:rPr>
        <w:t xml:space="preserve">die Prozessanalyse, </w:t>
      </w:r>
      <w:r w:rsidR="00043AE1">
        <w:rPr>
          <w:lang w:val="de-DE"/>
        </w:rPr>
        <w:t xml:space="preserve">die </w:t>
      </w:r>
      <w:r w:rsidR="00242AF9">
        <w:rPr>
          <w:lang w:val="de-DE"/>
        </w:rPr>
        <w:t>Prozessberatung</w:t>
      </w:r>
      <w:r w:rsidR="00861FD8">
        <w:rPr>
          <w:lang w:val="de-DE"/>
        </w:rPr>
        <w:t xml:space="preserve"> und </w:t>
      </w:r>
      <w:r w:rsidR="00043AE1">
        <w:rPr>
          <w:lang w:val="de-DE"/>
        </w:rPr>
        <w:t xml:space="preserve">die </w:t>
      </w:r>
      <w:r w:rsidR="0074717E">
        <w:rPr>
          <w:lang w:val="de-DE"/>
        </w:rPr>
        <w:t>I</w:t>
      </w:r>
      <w:r w:rsidR="00861FD8">
        <w:rPr>
          <w:lang w:val="de-DE"/>
        </w:rPr>
        <w:t xml:space="preserve">mplementierung. Der Betrieb der Software erfolgt in den </w:t>
      </w:r>
      <w:r w:rsidR="00D2508B">
        <w:rPr>
          <w:lang w:val="de-DE"/>
        </w:rPr>
        <w:t xml:space="preserve">deutschen </w:t>
      </w:r>
      <w:r w:rsidR="00861FD8">
        <w:rPr>
          <w:lang w:val="de-DE"/>
        </w:rPr>
        <w:t xml:space="preserve">Hochsicherheitsrechenzentren </w:t>
      </w:r>
      <w:r w:rsidR="00474A78">
        <w:rPr>
          <w:lang w:val="de-DE"/>
        </w:rPr>
        <w:t xml:space="preserve">von </w:t>
      </w:r>
      <w:r w:rsidR="00861FD8">
        <w:rPr>
          <w:lang w:val="de-DE"/>
        </w:rPr>
        <w:t>noris network</w:t>
      </w:r>
      <w:r w:rsidR="008128E8">
        <w:rPr>
          <w:lang w:val="de-DE"/>
        </w:rPr>
        <w:t>.</w:t>
      </w:r>
      <w:r w:rsidR="00861FD8">
        <w:rPr>
          <w:lang w:val="de-DE"/>
        </w:rPr>
        <w:t xml:space="preserve"> </w:t>
      </w:r>
    </w:p>
    <w:p w14:paraId="0F5D5148" w14:textId="0ADA1B7B" w:rsidR="008128E8" w:rsidRDefault="00A56653" w:rsidP="00A56653">
      <w:pPr>
        <w:pStyle w:val="PITextkrper"/>
        <w:rPr>
          <w:lang w:val="de-DE"/>
        </w:rPr>
      </w:pPr>
      <w:r>
        <w:rPr>
          <w:lang w:val="de-DE"/>
        </w:rPr>
        <w:t xml:space="preserve">Die beiden </w:t>
      </w:r>
      <w:proofErr w:type="spellStart"/>
      <w:r w:rsidR="002A55EA">
        <w:rPr>
          <w:lang w:val="de-DE"/>
        </w:rPr>
        <w:t>Proturity</w:t>
      </w:r>
      <w:proofErr w:type="spellEnd"/>
      <w:r w:rsidR="002A55EA">
        <w:rPr>
          <w:lang w:val="de-DE"/>
        </w:rPr>
        <w:t>-</w:t>
      </w:r>
      <w:r w:rsidR="00474A78">
        <w:rPr>
          <w:lang w:val="de-DE"/>
        </w:rPr>
        <w:t xml:space="preserve">Geschäftsführer </w:t>
      </w:r>
      <w:proofErr w:type="spellStart"/>
      <w:r w:rsidR="008128E8" w:rsidRPr="008128E8">
        <w:rPr>
          <w:lang w:val="de-DE"/>
        </w:rPr>
        <w:t>Haitz</w:t>
      </w:r>
      <w:proofErr w:type="spellEnd"/>
      <w:r w:rsidR="008128E8" w:rsidRPr="008128E8">
        <w:rPr>
          <w:lang w:val="de-DE"/>
        </w:rPr>
        <w:t xml:space="preserve"> und </w:t>
      </w:r>
      <w:proofErr w:type="spellStart"/>
      <w:r w:rsidR="008128E8" w:rsidRPr="008128E8">
        <w:rPr>
          <w:lang w:val="de-DE"/>
        </w:rPr>
        <w:t>Ranninger</w:t>
      </w:r>
      <w:proofErr w:type="spellEnd"/>
      <w:r w:rsidR="008128E8" w:rsidRPr="008128E8">
        <w:rPr>
          <w:lang w:val="de-DE"/>
        </w:rPr>
        <w:t xml:space="preserve"> </w:t>
      </w:r>
      <w:r>
        <w:rPr>
          <w:lang w:val="de-DE"/>
        </w:rPr>
        <w:t xml:space="preserve">sind </w:t>
      </w:r>
      <w:r w:rsidR="00474A78">
        <w:rPr>
          <w:lang w:val="de-DE"/>
        </w:rPr>
        <w:t xml:space="preserve">seit </w:t>
      </w:r>
      <w:r w:rsidR="00242AF9">
        <w:rPr>
          <w:lang w:val="de-DE"/>
        </w:rPr>
        <w:t xml:space="preserve">mehr als </w:t>
      </w:r>
      <w:r>
        <w:rPr>
          <w:lang w:val="de-DE"/>
        </w:rPr>
        <w:t>20</w:t>
      </w:r>
      <w:r w:rsidR="008C34BC">
        <w:rPr>
          <w:lang w:val="de-DE"/>
        </w:rPr>
        <w:t> </w:t>
      </w:r>
      <w:r>
        <w:rPr>
          <w:lang w:val="de-DE"/>
        </w:rPr>
        <w:t xml:space="preserve">Jahren im Bereich </w:t>
      </w:r>
      <w:r w:rsidR="008128E8" w:rsidRPr="008128E8">
        <w:rPr>
          <w:lang w:val="de-DE"/>
        </w:rPr>
        <w:t>Service Management</w:t>
      </w:r>
      <w:r>
        <w:rPr>
          <w:lang w:val="de-DE"/>
        </w:rPr>
        <w:t xml:space="preserve"> tätig und</w:t>
      </w:r>
      <w:r w:rsidR="00D2508B">
        <w:rPr>
          <w:lang w:val="de-DE"/>
        </w:rPr>
        <w:t xml:space="preserve"> </w:t>
      </w:r>
      <w:r w:rsidR="00474A78">
        <w:rPr>
          <w:lang w:val="de-DE"/>
        </w:rPr>
        <w:t xml:space="preserve">verfügen über </w:t>
      </w:r>
      <w:r w:rsidR="00242AF9">
        <w:rPr>
          <w:lang w:val="de-DE"/>
        </w:rPr>
        <w:t>mehrere</w:t>
      </w:r>
      <w:r w:rsidR="0074717E">
        <w:rPr>
          <w:lang w:val="de-DE"/>
        </w:rPr>
        <w:t xml:space="preserve"> </w:t>
      </w:r>
      <w:r>
        <w:rPr>
          <w:lang w:val="de-DE"/>
        </w:rPr>
        <w:t xml:space="preserve">Jahre </w:t>
      </w:r>
      <w:r w:rsidR="008128E8" w:rsidRPr="008128E8">
        <w:rPr>
          <w:lang w:val="de-DE"/>
        </w:rPr>
        <w:t xml:space="preserve">Erfahrung mit </w:t>
      </w:r>
      <w:r>
        <w:rPr>
          <w:lang w:val="de-DE"/>
        </w:rPr>
        <w:t xml:space="preserve">der Abbildung </w:t>
      </w:r>
      <w:r w:rsidR="00242AF9">
        <w:rPr>
          <w:lang w:val="de-DE"/>
        </w:rPr>
        <w:t xml:space="preserve">und Optimierung </w:t>
      </w:r>
      <w:r>
        <w:rPr>
          <w:lang w:val="de-DE"/>
        </w:rPr>
        <w:t xml:space="preserve">von Prozessen in </w:t>
      </w:r>
      <w:r w:rsidR="008128E8" w:rsidRPr="008128E8">
        <w:rPr>
          <w:lang w:val="de-DE"/>
        </w:rPr>
        <w:t>ServiceNow</w:t>
      </w:r>
      <w:r>
        <w:rPr>
          <w:lang w:val="de-DE"/>
        </w:rPr>
        <w:t>.</w:t>
      </w:r>
      <w:r w:rsidR="00D2508B">
        <w:rPr>
          <w:lang w:val="de-DE"/>
        </w:rPr>
        <w:t xml:space="preserve"> Beide begannen als Kunden, die in ihren damaligen Unternehmen das IT</w:t>
      </w:r>
      <w:r w:rsidR="00474A78">
        <w:rPr>
          <w:lang w:val="de-DE"/>
        </w:rPr>
        <w:t>-</w:t>
      </w:r>
      <w:r w:rsidR="00D2508B">
        <w:rPr>
          <w:lang w:val="de-DE"/>
        </w:rPr>
        <w:t>Service</w:t>
      </w:r>
      <w:r w:rsidR="00474A78">
        <w:rPr>
          <w:lang w:val="de-DE"/>
        </w:rPr>
        <w:t>-</w:t>
      </w:r>
      <w:r w:rsidR="00D2508B">
        <w:rPr>
          <w:lang w:val="de-DE"/>
        </w:rPr>
        <w:t xml:space="preserve">Management mit Hilfe von ServiceNow </w:t>
      </w:r>
      <w:r w:rsidR="0074717E">
        <w:rPr>
          <w:lang w:val="de-DE"/>
        </w:rPr>
        <w:t xml:space="preserve">eingeführt </w:t>
      </w:r>
      <w:r w:rsidR="00242AF9">
        <w:rPr>
          <w:lang w:val="de-DE"/>
        </w:rPr>
        <w:t xml:space="preserve">haben. Schnell wurden weitere Prozesse aus den Bereichen Personalwesen, </w:t>
      </w:r>
      <w:r w:rsidR="00242AF9" w:rsidRPr="00D2508B">
        <w:rPr>
          <w:lang w:val="de-DE"/>
        </w:rPr>
        <w:t>Legal Services, Sales, Produ</w:t>
      </w:r>
      <w:r w:rsidR="00242AF9">
        <w:rPr>
          <w:lang w:val="de-DE"/>
        </w:rPr>
        <w:t>ktm</w:t>
      </w:r>
      <w:r w:rsidR="00242AF9" w:rsidRPr="00D2508B">
        <w:rPr>
          <w:lang w:val="de-DE"/>
        </w:rPr>
        <w:t xml:space="preserve">anagement </w:t>
      </w:r>
      <w:r w:rsidR="00242AF9">
        <w:rPr>
          <w:lang w:val="de-DE"/>
        </w:rPr>
        <w:t xml:space="preserve">oder </w:t>
      </w:r>
      <w:r w:rsidR="00242AF9" w:rsidRPr="00D2508B">
        <w:rPr>
          <w:lang w:val="de-DE"/>
        </w:rPr>
        <w:t>Administration</w:t>
      </w:r>
      <w:r w:rsidR="00242AF9">
        <w:rPr>
          <w:lang w:val="de-DE"/>
        </w:rPr>
        <w:t xml:space="preserve"> </w:t>
      </w:r>
      <w:r w:rsidR="00322ED9">
        <w:rPr>
          <w:lang w:val="de-DE"/>
        </w:rPr>
        <w:t>mit ServiceNow digitalisiert</w:t>
      </w:r>
      <w:r w:rsidR="00242AF9">
        <w:rPr>
          <w:lang w:val="de-DE"/>
        </w:rPr>
        <w:t xml:space="preserve">. </w:t>
      </w:r>
      <w:r w:rsidR="002A55EA">
        <w:rPr>
          <w:lang w:val="de-DE"/>
        </w:rPr>
        <w:t xml:space="preserve">Später stiegen </w:t>
      </w:r>
      <w:r w:rsidR="00242AF9">
        <w:rPr>
          <w:lang w:val="de-DE"/>
        </w:rPr>
        <w:t xml:space="preserve">die beiden Gründer </w:t>
      </w:r>
      <w:r w:rsidR="00142103">
        <w:rPr>
          <w:lang w:val="de-DE"/>
        </w:rPr>
        <w:t xml:space="preserve">bei </w:t>
      </w:r>
      <w:r w:rsidR="00D2508B">
        <w:rPr>
          <w:lang w:val="de-DE"/>
        </w:rPr>
        <w:t>ServiceNow-Partner</w:t>
      </w:r>
      <w:r w:rsidR="00142103">
        <w:rPr>
          <w:lang w:val="de-DE"/>
        </w:rPr>
        <w:t>unternehmen</w:t>
      </w:r>
      <w:r w:rsidR="00D2508B">
        <w:rPr>
          <w:lang w:val="de-DE"/>
        </w:rPr>
        <w:t xml:space="preserve"> in die Beratung ein</w:t>
      </w:r>
      <w:r w:rsidR="00322ED9">
        <w:rPr>
          <w:lang w:val="de-DE"/>
        </w:rPr>
        <w:t xml:space="preserve"> und unterstützten große und mittelständische Unternehmen bei der Digitalisierung und Automatisierung ihrer Prozesse mit ServiceNow.</w:t>
      </w:r>
    </w:p>
    <w:p w14:paraId="2A6DB6E3" w14:textId="2FB01F4C" w:rsidR="00D911D0" w:rsidRPr="00D911D0" w:rsidRDefault="00474A78" w:rsidP="00A56653">
      <w:pPr>
        <w:pStyle w:val="PITextkrper"/>
        <w:rPr>
          <w:b/>
          <w:bCs/>
          <w:lang w:val="de-DE"/>
        </w:rPr>
      </w:pPr>
      <w:r>
        <w:rPr>
          <w:b/>
          <w:bCs/>
          <w:lang w:val="de-DE"/>
        </w:rPr>
        <w:t>n</w:t>
      </w:r>
      <w:r w:rsidRPr="00D911D0">
        <w:rPr>
          <w:b/>
          <w:bCs/>
          <w:lang w:val="de-DE"/>
        </w:rPr>
        <w:t xml:space="preserve">oris </w:t>
      </w:r>
      <w:r w:rsidR="00D911D0" w:rsidRPr="00D911D0">
        <w:rPr>
          <w:b/>
          <w:bCs/>
          <w:lang w:val="de-DE"/>
        </w:rPr>
        <w:t>network setzt ServiceNow auch selbst ein</w:t>
      </w:r>
    </w:p>
    <w:p w14:paraId="610CEB1B" w14:textId="2A462499" w:rsidR="00C92624" w:rsidRPr="008128E8" w:rsidRDefault="00D124B3" w:rsidP="00A56653">
      <w:pPr>
        <w:pStyle w:val="PITextkrper"/>
        <w:rPr>
          <w:lang w:val="de-DE"/>
        </w:rPr>
      </w:pPr>
      <w:r>
        <w:rPr>
          <w:lang w:val="de-DE"/>
        </w:rPr>
        <w:t xml:space="preserve">Die </w:t>
      </w:r>
      <w:r w:rsidRPr="00796530">
        <w:rPr>
          <w:lang w:val="de-DE"/>
        </w:rPr>
        <w:t>Proturity GmbH</w:t>
      </w:r>
      <w:r>
        <w:rPr>
          <w:lang w:val="de-DE"/>
        </w:rPr>
        <w:t xml:space="preserve"> </w:t>
      </w:r>
      <w:r w:rsidR="00474A78">
        <w:rPr>
          <w:lang w:val="de-DE"/>
        </w:rPr>
        <w:t xml:space="preserve">startet </w:t>
      </w:r>
      <w:r>
        <w:rPr>
          <w:lang w:val="de-DE"/>
        </w:rPr>
        <w:t>mit zehn festen</w:t>
      </w:r>
      <w:r w:rsidR="00322ED9">
        <w:rPr>
          <w:lang w:val="de-DE"/>
        </w:rPr>
        <w:t xml:space="preserve">, erfahrenen </w:t>
      </w:r>
      <w:r w:rsidR="003D47C6">
        <w:rPr>
          <w:lang w:val="de-DE"/>
        </w:rPr>
        <w:t xml:space="preserve">und </w:t>
      </w:r>
      <w:r w:rsidR="00322ED9">
        <w:rPr>
          <w:lang w:val="de-DE"/>
        </w:rPr>
        <w:t>umfangreich zertifizierten</w:t>
      </w:r>
      <w:r w:rsidR="003D47C6">
        <w:rPr>
          <w:lang w:val="de-DE"/>
        </w:rPr>
        <w:t xml:space="preserve"> </w:t>
      </w:r>
      <w:r>
        <w:rPr>
          <w:lang w:val="de-DE"/>
        </w:rPr>
        <w:t>Mitarbeite</w:t>
      </w:r>
      <w:r w:rsidR="00D911D0">
        <w:rPr>
          <w:lang w:val="de-DE"/>
        </w:rPr>
        <w:t>nden</w:t>
      </w:r>
      <w:r w:rsidR="003D47C6">
        <w:rPr>
          <w:lang w:val="de-DE"/>
        </w:rPr>
        <w:t xml:space="preserve"> sowie einem </w:t>
      </w:r>
      <w:r>
        <w:rPr>
          <w:lang w:val="de-DE"/>
        </w:rPr>
        <w:t>großen Netzwerk an ServiceNow-Exper</w:t>
      </w:r>
      <w:r w:rsidR="00D911D0">
        <w:rPr>
          <w:lang w:val="de-DE"/>
        </w:rPr>
        <w:t>t</w:t>
      </w:r>
      <w:r>
        <w:rPr>
          <w:lang w:val="de-DE"/>
        </w:rPr>
        <w:t>innen</w:t>
      </w:r>
      <w:r w:rsidR="00D911D0">
        <w:rPr>
          <w:lang w:val="de-DE"/>
        </w:rPr>
        <w:t xml:space="preserve"> und </w:t>
      </w:r>
      <w:r w:rsidR="000047D4">
        <w:rPr>
          <w:lang w:val="de-DE"/>
        </w:rPr>
        <w:t>-</w:t>
      </w:r>
      <w:r w:rsidR="00D911D0">
        <w:rPr>
          <w:lang w:val="de-DE"/>
        </w:rPr>
        <w:t>Experten</w:t>
      </w:r>
      <w:r w:rsidR="00322ED9">
        <w:rPr>
          <w:lang w:val="de-DE"/>
        </w:rPr>
        <w:t xml:space="preserve"> aus dem </w:t>
      </w:r>
      <w:r w:rsidR="0074717E">
        <w:rPr>
          <w:lang w:val="de-DE"/>
        </w:rPr>
        <w:t>europäischen Ausland</w:t>
      </w:r>
      <w:r w:rsidR="00474A78">
        <w:rPr>
          <w:lang w:val="de-DE"/>
        </w:rPr>
        <w:t>. H</w:t>
      </w:r>
      <w:r w:rsidR="00D911D0">
        <w:rPr>
          <w:lang w:val="de-DE"/>
        </w:rPr>
        <w:t xml:space="preserve">ier zahlen sich die </w:t>
      </w:r>
      <w:r w:rsidR="00043AE1">
        <w:rPr>
          <w:lang w:val="de-DE"/>
        </w:rPr>
        <w:t xml:space="preserve">zahlreichen </w:t>
      </w:r>
      <w:r w:rsidR="00D911D0">
        <w:rPr>
          <w:lang w:val="de-DE"/>
        </w:rPr>
        <w:t>langjährigen Kontakte der beiden Gründer aus.</w:t>
      </w:r>
      <w:r w:rsidR="005364DF">
        <w:rPr>
          <w:lang w:val="de-DE"/>
        </w:rPr>
        <w:t xml:space="preserve"> </w:t>
      </w:r>
      <w:r w:rsidR="00D911D0" w:rsidRPr="008128E8">
        <w:rPr>
          <w:lang w:val="de-DE"/>
        </w:rPr>
        <w:t>Haitz</w:t>
      </w:r>
      <w:r w:rsidR="005C7576">
        <w:rPr>
          <w:lang w:val="de-DE"/>
        </w:rPr>
        <w:t>: „noris network ist selbst der erste Kunde</w:t>
      </w:r>
      <w:r w:rsidR="0016323D">
        <w:rPr>
          <w:lang w:val="de-DE"/>
        </w:rPr>
        <w:t>, wobei das</w:t>
      </w:r>
      <w:r w:rsidR="005C7576">
        <w:rPr>
          <w:lang w:val="de-DE"/>
        </w:rPr>
        <w:t xml:space="preserve"> </w:t>
      </w:r>
      <w:r w:rsidR="00267B3B" w:rsidRPr="00267B3B">
        <w:rPr>
          <w:lang w:val="de-DE"/>
        </w:rPr>
        <w:t>ISO</w:t>
      </w:r>
      <w:r w:rsidR="00453AC8">
        <w:rPr>
          <w:lang w:val="de-DE"/>
        </w:rPr>
        <w:t>-</w:t>
      </w:r>
      <w:r w:rsidR="00267B3B" w:rsidRPr="00267B3B">
        <w:rPr>
          <w:lang w:val="de-DE"/>
        </w:rPr>
        <w:t>20000-1</w:t>
      </w:r>
      <w:r w:rsidR="00267B3B">
        <w:rPr>
          <w:lang w:val="de-DE"/>
        </w:rPr>
        <w:t>-zertifizierte</w:t>
      </w:r>
      <w:r w:rsidR="00267B3B" w:rsidRPr="00267B3B">
        <w:rPr>
          <w:lang w:val="de-DE"/>
        </w:rPr>
        <w:t xml:space="preserve"> </w:t>
      </w:r>
      <w:r w:rsidR="005C7576">
        <w:rPr>
          <w:lang w:val="de-DE"/>
        </w:rPr>
        <w:t xml:space="preserve">Unternehmen </w:t>
      </w:r>
      <w:r w:rsidR="005364DF">
        <w:rPr>
          <w:lang w:val="de-DE"/>
        </w:rPr>
        <w:t>besonders viel</w:t>
      </w:r>
      <w:r w:rsidR="005C7576">
        <w:rPr>
          <w:lang w:val="de-DE"/>
        </w:rPr>
        <w:t xml:space="preserve"> Wert auf </w:t>
      </w:r>
      <w:r w:rsidR="0016323D">
        <w:rPr>
          <w:lang w:val="de-DE"/>
        </w:rPr>
        <w:t xml:space="preserve">ein </w:t>
      </w:r>
      <w:r w:rsidR="00267B3B">
        <w:rPr>
          <w:lang w:val="de-DE"/>
        </w:rPr>
        <w:t>optimales IT</w:t>
      </w:r>
      <w:r w:rsidR="00453AC8">
        <w:rPr>
          <w:lang w:val="de-DE"/>
        </w:rPr>
        <w:t>-</w:t>
      </w:r>
      <w:r w:rsidR="00267B3B">
        <w:rPr>
          <w:lang w:val="de-DE"/>
        </w:rPr>
        <w:t>Service</w:t>
      </w:r>
      <w:r w:rsidR="00453AC8">
        <w:rPr>
          <w:lang w:val="de-DE"/>
        </w:rPr>
        <w:t>-</w:t>
      </w:r>
      <w:r w:rsidR="00267B3B">
        <w:rPr>
          <w:lang w:val="de-DE"/>
        </w:rPr>
        <w:t>Management</w:t>
      </w:r>
      <w:r w:rsidR="0016323D">
        <w:rPr>
          <w:lang w:val="de-DE"/>
        </w:rPr>
        <w:t xml:space="preserve"> legt</w:t>
      </w:r>
      <w:r w:rsidR="00267B3B">
        <w:rPr>
          <w:lang w:val="de-DE"/>
        </w:rPr>
        <w:t xml:space="preserve">. So haben wir </w:t>
      </w:r>
      <w:r w:rsidR="0016323D">
        <w:rPr>
          <w:lang w:val="de-DE"/>
        </w:rPr>
        <w:t xml:space="preserve">für noris </w:t>
      </w:r>
      <w:r w:rsidR="00267B3B">
        <w:rPr>
          <w:lang w:val="de-DE"/>
        </w:rPr>
        <w:t>eine hervorragende Lösung gefunden</w:t>
      </w:r>
      <w:r w:rsidR="005364DF">
        <w:rPr>
          <w:lang w:val="de-DE"/>
        </w:rPr>
        <w:t xml:space="preserve"> und</w:t>
      </w:r>
      <w:r w:rsidR="00267B3B">
        <w:rPr>
          <w:lang w:val="de-DE"/>
        </w:rPr>
        <w:t xml:space="preserve"> zugleich einen Markt eröffnet: </w:t>
      </w:r>
      <w:r w:rsidR="0016323D">
        <w:rPr>
          <w:lang w:val="de-DE"/>
        </w:rPr>
        <w:t xml:space="preserve">Im Fokus stehen </w:t>
      </w:r>
      <w:r w:rsidR="006864A0">
        <w:rPr>
          <w:lang w:val="de-DE"/>
        </w:rPr>
        <w:t>Unternehmen</w:t>
      </w:r>
      <w:r w:rsidR="0016323D">
        <w:rPr>
          <w:lang w:val="de-DE"/>
        </w:rPr>
        <w:t xml:space="preserve">, </w:t>
      </w:r>
      <w:r w:rsidR="006864A0">
        <w:rPr>
          <w:lang w:val="de-DE"/>
        </w:rPr>
        <w:t>die</w:t>
      </w:r>
      <w:r w:rsidR="0016323D">
        <w:rPr>
          <w:lang w:val="de-DE"/>
        </w:rPr>
        <w:t xml:space="preserve"> besondere</w:t>
      </w:r>
      <w:r w:rsidR="006864A0">
        <w:rPr>
          <w:lang w:val="de-DE"/>
        </w:rPr>
        <w:t>n</w:t>
      </w:r>
      <w:r w:rsidR="0016323D">
        <w:rPr>
          <w:lang w:val="de-DE"/>
        </w:rPr>
        <w:t xml:space="preserve"> Wert auf </w:t>
      </w:r>
      <w:r w:rsidR="00BB011D">
        <w:rPr>
          <w:lang w:val="de-DE"/>
        </w:rPr>
        <w:t>i</w:t>
      </w:r>
      <w:r w:rsidR="0016323D">
        <w:rPr>
          <w:lang w:val="de-DE"/>
        </w:rPr>
        <w:t>hren Datenschutz</w:t>
      </w:r>
      <w:r w:rsidR="006864A0">
        <w:rPr>
          <w:lang w:val="de-DE"/>
        </w:rPr>
        <w:t xml:space="preserve"> und -sicherheit</w:t>
      </w:r>
      <w:r w:rsidR="0016323D">
        <w:rPr>
          <w:lang w:val="de-DE"/>
        </w:rPr>
        <w:t xml:space="preserve"> </w:t>
      </w:r>
      <w:r w:rsidR="006864A0">
        <w:rPr>
          <w:lang w:val="de-DE"/>
        </w:rPr>
        <w:t>legen</w:t>
      </w:r>
      <w:r w:rsidR="0016323D">
        <w:rPr>
          <w:lang w:val="de-DE"/>
        </w:rPr>
        <w:t xml:space="preserve"> oder zu den KRITIS-Unternehmen zählen. </w:t>
      </w:r>
      <w:r w:rsidR="006864A0">
        <w:rPr>
          <w:lang w:val="de-DE"/>
        </w:rPr>
        <w:t xml:space="preserve">Für diese </w:t>
      </w:r>
      <w:r w:rsidR="006864A0">
        <w:rPr>
          <w:lang w:val="de-DE"/>
        </w:rPr>
        <w:lastRenderedPageBreak/>
        <w:t xml:space="preserve">Unternehmen kann noris network die Cloud-Software in </w:t>
      </w:r>
      <w:r w:rsidR="00636CBC">
        <w:rPr>
          <w:lang w:val="de-DE"/>
        </w:rPr>
        <w:t xml:space="preserve">ihren </w:t>
      </w:r>
      <w:r w:rsidR="006864A0">
        <w:rPr>
          <w:lang w:val="de-DE"/>
        </w:rPr>
        <w:t xml:space="preserve">eigenen </w:t>
      </w:r>
      <w:r w:rsidR="004416F3">
        <w:rPr>
          <w:lang w:val="de-DE"/>
        </w:rPr>
        <w:t>Hochsicherheitsrechenzentren</w:t>
      </w:r>
      <w:r w:rsidR="006864A0">
        <w:rPr>
          <w:lang w:val="de-DE"/>
        </w:rPr>
        <w:t xml:space="preserve"> betreiben</w:t>
      </w:r>
      <w:r w:rsidR="00645368">
        <w:rPr>
          <w:lang w:val="de-DE"/>
        </w:rPr>
        <w:t xml:space="preserve">. </w:t>
      </w:r>
      <w:proofErr w:type="spellStart"/>
      <w:r w:rsidR="006864A0">
        <w:rPr>
          <w:lang w:val="de-DE"/>
        </w:rPr>
        <w:t>Proturity</w:t>
      </w:r>
      <w:proofErr w:type="spellEnd"/>
      <w:r w:rsidR="006864A0">
        <w:rPr>
          <w:lang w:val="de-DE"/>
        </w:rPr>
        <w:t xml:space="preserve"> </w:t>
      </w:r>
      <w:r w:rsidR="00645368">
        <w:rPr>
          <w:lang w:val="de-DE"/>
        </w:rPr>
        <w:t xml:space="preserve">übernimmt dabei </w:t>
      </w:r>
      <w:r w:rsidR="00636CBC">
        <w:rPr>
          <w:lang w:val="de-DE"/>
        </w:rPr>
        <w:t>die</w:t>
      </w:r>
      <w:r w:rsidR="00142103">
        <w:rPr>
          <w:lang w:val="de-DE"/>
        </w:rPr>
        <w:t xml:space="preserve"> </w:t>
      </w:r>
      <w:r w:rsidR="00636CBC">
        <w:rPr>
          <w:lang w:val="de-DE"/>
        </w:rPr>
        <w:t xml:space="preserve">Abbildung der Prozesse und die Implementierung von ServiceNow. </w:t>
      </w:r>
      <w:r w:rsidR="000505F6">
        <w:rPr>
          <w:lang w:val="de-DE"/>
        </w:rPr>
        <w:t xml:space="preserve">Neben dem Betrieb von ServiceNow </w:t>
      </w:r>
      <w:r w:rsidR="000E50A7">
        <w:rPr>
          <w:lang w:val="de-DE"/>
        </w:rPr>
        <w:t>nach deutsche</w:t>
      </w:r>
      <w:r w:rsidR="002174B0">
        <w:rPr>
          <w:lang w:val="de-DE"/>
        </w:rPr>
        <w:t>m</w:t>
      </w:r>
      <w:r w:rsidR="000E50A7">
        <w:rPr>
          <w:lang w:val="de-DE"/>
        </w:rPr>
        <w:t xml:space="preserve"> Datenschutz</w:t>
      </w:r>
      <w:r w:rsidR="00C008E4">
        <w:rPr>
          <w:lang w:val="de-DE"/>
        </w:rPr>
        <w:t>, stehen dem Kunden mit der Proturity ServiceNow-Experten zur Verfügung, wodurch der Kunde alles aus einer Hand erhält</w:t>
      </w:r>
      <w:r w:rsidR="00636CBC">
        <w:rPr>
          <w:lang w:val="de-DE"/>
        </w:rPr>
        <w:t>.</w:t>
      </w:r>
      <w:r w:rsidR="00F67DBB">
        <w:rPr>
          <w:lang w:val="de-DE"/>
        </w:rPr>
        <w:t>“</w:t>
      </w:r>
      <w:r>
        <w:rPr>
          <w:lang w:val="de-DE"/>
        </w:rPr>
        <w:t xml:space="preserve"> </w:t>
      </w:r>
    </w:p>
    <w:p w14:paraId="759CBCD1" w14:textId="2CC31EE0" w:rsidR="00B91AA0" w:rsidRDefault="000B497B" w:rsidP="00B91AA0">
      <w:pPr>
        <w:pStyle w:val="PITextkrper"/>
      </w:pPr>
      <w:r>
        <w:rPr>
          <w:lang w:val="de-DE"/>
        </w:rPr>
        <w:t>„</w:t>
      </w:r>
      <w:r w:rsidR="00453AC8">
        <w:rPr>
          <w:lang w:val="de-DE"/>
        </w:rPr>
        <w:t xml:space="preserve">Digitalisierte </w:t>
      </w:r>
      <w:r>
        <w:rPr>
          <w:lang w:val="de-DE"/>
        </w:rPr>
        <w:t xml:space="preserve">und automatisierte Workflows bieten ein </w:t>
      </w:r>
      <w:r w:rsidR="005A30F8">
        <w:rPr>
          <w:lang w:val="de-DE"/>
        </w:rPr>
        <w:t xml:space="preserve">fantastisches </w:t>
      </w:r>
      <w:r>
        <w:rPr>
          <w:lang w:val="de-DE"/>
        </w:rPr>
        <w:t>Optimierungspotenzial</w:t>
      </w:r>
      <w:r w:rsidR="00645368">
        <w:rPr>
          <w:lang w:val="de-DE"/>
        </w:rPr>
        <w:t>.</w:t>
      </w:r>
      <w:r>
        <w:rPr>
          <w:lang w:val="de-DE"/>
        </w:rPr>
        <w:t xml:space="preserve"> ServiceNow </w:t>
      </w:r>
      <w:r w:rsidR="005A30F8">
        <w:rPr>
          <w:lang w:val="de-DE"/>
        </w:rPr>
        <w:t>ist eine der mächtigsten Plattformen, die es dafür gibt</w:t>
      </w:r>
      <w:r>
        <w:rPr>
          <w:lang w:val="de-DE"/>
        </w:rPr>
        <w:t xml:space="preserve">. </w:t>
      </w:r>
      <w:r w:rsidR="005A30F8">
        <w:rPr>
          <w:lang w:val="de-DE"/>
        </w:rPr>
        <w:t xml:space="preserve">Die </w:t>
      </w:r>
      <w:r>
        <w:rPr>
          <w:lang w:val="de-DE"/>
        </w:rPr>
        <w:t>Prozessautomation ist allerdings nicht gerade trivial</w:t>
      </w:r>
      <w:r w:rsidR="00453AC8">
        <w:rPr>
          <w:lang w:val="de-DE"/>
        </w:rPr>
        <w:t xml:space="preserve">, </w:t>
      </w:r>
      <w:r>
        <w:rPr>
          <w:lang w:val="de-DE"/>
        </w:rPr>
        <w:t xml:space="preserve">deshalb </w:t>
      </w:r>
      <w:r w:rsidR="00645368">
        <w:rPr>
          <w:lang w:val="de-DE"/>
        </w:rPr>
        <w:t xml:space="preserve">geht es nicht ohne einen Partner mit klarem Fokus. Mit der </w:t>
      </w:r>
      <w:proofErr w:type="spellStart"/>
      <w:r w:rsidR="00645368">
        <w:rPr>
          <w:lang w:val="de-DE"/>
        </w:rPr>
        <w:t>Proturity</w:t>
      </w:r>
      <w:proofErr w:type="spellEnd"/>
      <w:r w:rsidR="00645368">
        <w:rPr>
          <w:lang w:val="de-DE"/>
        </w:rPr>
        <w:t xml:space="preserve"> haben wir diesen starken Partner gefunden.</w:t>
      </w:r>
      <w:r w:rsidR="000A783A">
        <w:rPr>
          <w:lang w:val="de-DE"/>
        </w:rPr>
        <w:t xml:space="preserve"> Kunden, die ServiceNow aus unserer sicheren Cloud beziehen, </w:t>
      </w:r>
      <w:r w:rsidR="00A626AC">
        <w:rPr>
          <w:lang w:val="de-DE"/>
        </w:rPr>
        <w:t>erhalten das Beste aus beiden Welten</w:t>
      </w:r>
      <w:r w:rsidR="000A783A">
        <w:rPr>
          <w:lang w:val="de-DE"/>
        </w:rPr>
        <w:t xml:space="preserve">“, </w:t>
      </w:r>
      <w:r w:rsidR="00043AE1">
        <w:rPr>
          <w:lang w:val="de-DE"/>
        </w:rPr>
        <w:t xml:space="preserve">sagt </w:t>
      </w:r>
      <w:r w:rsidR="000A783A">
        <w:t xml:space="preserve">Ingo </w:t>
      </w:r>
      <w:proofErr w:type="spellStart"/>
      <w:r w:rsidR="000A783A">
        <w:t>Kraupa</w:t>
      </w:r>
      <w:proofErr w:type="spellEnd"/>
      <w:r w:rsidR="000A783A">
        <w:t xml:space="preserve">, CEO der </w:t>
      </w:r>
      <w:proofErr w:type="spellStart"/>
      <w:r w:rsidR="000A783A">
        <w:t>noris</w:t>
      </w:r>
      <w:proofErr w:type="spellEnd"/>
      <w:r w:rsidR="000A783A">
        <w:t xml:space="preserve"> network AG.</w:t>
      </w:r>
    </w:p>
    <w:p w14:paraId="26A9F89D" w14:textId="77777777" w:rsidR="00681839" w:rsidRPr="009016A0" w:rsidRDefault="00681839" w:rsidP="00B91AA0">
      <w:pPr>
        <w:pStyle w:val="PITextkrper"/>
        <w:rPr>
          <w:lang w:val="de-DE"/>
        </w:rPr>
      </w:pPr>
    </w:p>
    <w:p w14:paraId="190495AA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5FEE586C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55C313E1" w14:textId="58FA7554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8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p w14:paraId="37DE871D" w14:textId="77777777" w:rsidR="00B91AA0" w:rsidRPr="009016A0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</w:tblGrid>
      <w:tr w:rsidR="00B91AA0" w:rsidRPr="009016A0" w14:paraId="4B3B63C3" w14:textId="77777777" w:rsidTr="00342187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3E59" w14:textId="000D1E65" w:rsidR="00B91AA0" w:rsidRPr="009016A0" w:rsidRDefault="00F7100A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1253C7EF" wp14:editId="3329DAFE">
                  <wp:extent cx="2326640" cy="1348740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664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89FDE8" w14:textId="524799D0" w:rsidR="00B91AA0" w:rsidRPr="00F7100A" w:rsidRDefault="00B91AA0" w:rsidP="00342187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 w:rsidRPr="00F7100A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A95104" w:rsidRPr="00F7100A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A95104" w:rsidRPr="00F7100A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01DE60FC" w14:textId="3814B3BF" w:rsidR="00B91AA0" w:rsidRPr="009016A0" w:rsidRDefault="00F7100A" w:rsidP="00342187">
            <w:pPr>
              <w:pStyle w:val="FormatvorlagePILinieVor6ptUntenKeinRahmen"/>
              <w:rPr>
                <w:lang w:val="de-DE"/>
              </w:rPr>
            </w:pPr>
            <w:r>
              <w:rPr>
                <w:lang w:val="de-DE"/>
              </w:rPr>
              <w:t xml:space="preserve">Von links nach rechts: </w:t>
            </w:r>
            <w:r w:rsidRPr="00723A1F">
              <w:rPr>
                <w:lang w:val="de-DE"/>
              </w:rPr>
              <w:t xml:space="preserve">Frederik </w:t>
            </w:r>
            <w:proofErr w:type="spellStart"/>
            <w:r w:rsidRPr="00723A1F">
              <w:rPr>
                <w:lang w:val="de-DE"/>
              </w:rPr>
              <w:t>Ranninger</w:t>
            </w:r>
            <w:proofErr w:type="spellEnd"/>
            <w:r>
              <w:rPr>
                <w:lang w:val="de-DE"/>
              </w:rPr>
              <w:t xml:space="preserve">, Ingo </w:t>
            </w:r>
            <w:proofErr w:type="spellStart"/>
            <w:r>
              <w:rPr>
                <w:lang w:val="de-DE"/>
              </w:rPr>
              <w:t>Kraupa</w:t>
            </w:r>
            <w:proofErr w:type="spellEnd"/>
            <w:r>
              <w:rPr>
                <w:lang w:val="de-DE"/>
              </w:rPr>
              <w:t xml:space="preserve"> und </w:t>
            </w:r>
            <w:r w:rsidRPr="00723A1F">
              <w:rPr>
                <w:lang w:val="de-DE"/>
              </w:rPr>
              <w:t xml:space="preserve">Peter </w:t>
            </w:r>
            <w:proofErr w:type="spellStart"/>
            <w:r w:rsidRPr="00723A1F">
              <w:rPr>
                <w:lang w:val="de-DE"/>
              </w:rPr>
              <w:t>Haitz</w:t>
            </w:r>
            <w:proofErr w:type="spellEnd"/>
          </w:p>
        </w:tc>
      </w:tr>
    </w:tbl>
    <w:p w14:paraId="406EFCDE" w14:textId="77777777" w:rsidR="00B91AA0" w:rsidRPr="009016A0" w:rsidRDefault="00B91AA0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04C9C5D7" w14:textId="77777777" w:rsidR="00EC30C1" w:rsidRPr="009016A0" w:rsidRDefault="00EC30C1" w:rsidP="00B91AA0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1229D2D2" w14:textId="77777777" w:rsidR="009D7756" w:rsidRPr="0015555A" w:rsidRDefault="009D7756" w:rsidP="009D7756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1025A1">
        <w:rPr>
          <w:b/>
          <w:bCs/>
          <w:sz w:val="18"/>
          <w:szCs w:val="18"/>
          <w:lang w:val="de-DE"/>
        </w:rPr>
        <w:t>noris network AG</w:t>
      </w:r>
    </w:p>
    <w:p w14:paraId="69898174" w14:textId="77777777" w:rsidR="009D7756" w:rsidRPr="0015555A" w:rsidRDefault="009D7756" w:rsidP="009D7756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noris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noris network-eigenen Hochsicherheitsrechenzentren – darunter mit Nürnberg Süd und München Ost zwei der anerkannt modernsten und </w:t>
      </w:r>
      <w:r w:rsidRPr="0015555A">
        <w:rPr>
          <w:color w:val="000000"/>
          <w:lang w:val="de-DE"/>
        </w:rPr>
        <w:lastRenderedPageBreak/>
        <w:t xml:space="preserve">energieeffizientesten Rechenzentren Europas. Neben kundenspezifischen Lösungen und Services für klassische und virtualisierte IT-Infrastrukturen bietet noris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5B381DB3" w14:textId="77777777" w:rsidR="009D7756" w:rsidRPr="007D14EE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noris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0CEA8810" w14:textId="77777777" w:rsidR="009D7756" w:rsidRPr="000F6B96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noris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noris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1C728D47" w14:textId="77777777" w:rsidR="009D7756" w:rsidRPr="0015555A" w:rsidRDefault="009D7756" w:rsidP="009D7756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  <w:t xml:space="preserve">noris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71A2B0DC" w14:textId="77777777" w:rsidR="009D7756" w:rsidRPr="0015555A" w:rsidRDefault="009D7756" w:rsidP="009D7756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9D7756" w:rsidRPr="0015555A" w14:paraId="5A546685" w14:textId="77777777" w:rsidTr="00C36091">
        <w:tc>
          <w:tcPr>
            <w:tcW w:w="3968" w:type="dxa"/>
          </w:tcPr>
          <w:p w14:paraId="0967E07C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711BB28F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color w:val="000000"/>
                <w:lang w:val="de-DE"/>
              </w:rPr>
              <w:t>noris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4E9E1D05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2CC3970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0FC43164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74A7898A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Brunhamstraße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0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72EDF207" w14:textId="77777777" w:rsidR="009D7756" w:rsidRPr="00EC30C1" w:rsidRDefault="009D7756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546E858B" w14:textId="77777777" w:rsidR="00152F10" w:rsidRPr="00EC30C1" w:rsidRDefault="00152F10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1"/>
      <w:footerReference w:type="default" r:id="rId12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E3406" w14:textId="77777777" w:rsidR="007F62F0" w:rsidRDefault="007F62F0">
      <w:r>
        <w:separator/>
      </w:r>
    </w:p>
  </w:endnote>
  <w:endnote w:type="continuationSeparator" w:id="0">
    <w:p w14:paraId="2C870022" w14:textId="77777777" w:rsidR="007F62F0" w:rsidRDefault="007F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626F" w14:textId="4C2F66C5" w:rsidR="00AB2A8F" w:rsidRDefault="00AB2A8F" w:rsidP="00961618">
    <w:pPr>
      <w:pStyle w:val="Footer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6C4E58">
      <w:rPr>
        <w:noProof/>
        <w:sz w:val="16"/>
        <w:szCs w:val="16"/>
        <w:lang w:val="de-DE"/>
      </w:rPr>
      <w:t>NRS1PI860.docx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2850E" w14:textId="77777777" w:rsidR="007F62F0" w:rsidRDefault="007F62F0">
      <w:r>
        <w:separator/>
      </w:r>
    </w:p>
  </w:footnote>
  <w:footnote w:type="continuationSeparator" w:id="0">
    <w:p w14:paraId="391DDA68" w14:textId="77777777" w:rsidR="007F62F0" w:rsidRDefault="007F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77777777" w:rsidR="00AB2A8F" w:rsidRDefault="00A06DBA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5314310D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4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69809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047D4"/>
    <w:rsid w:val="0001080E"/>
    <w:rsid w:val="000152D3"/>
    <w:rsid w:val="00015BE9"/>
    <w:rsid w:val="00020D49"/>
    <w:rsid w:val="00021340"/>
    <w:rsid w:val="00024EC3"/>
    <w:rsid w:val="00024FC1"/>
    <w:rsid w:val="00025671"/>
    <w:rsid w:val="00025F84"/>
    <w:rsid w:val="000324F0"/>
    <w:rsid w:val="00032C67"/>
    <w:rsid w:val="00042EF8"/>
    <w:rsid w:val="00043AE1"/>
    <w:rsid w:val="000505F6"/>
    <w:rsid w:val="00061BFC"/>
    <w:rsid w:val="00063B9A"/>
    <w:rsid w:val="000733F9"/>
    <w:rsid w:val="00082B45"/>
    <w:rsid w:val="000866F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A783A"/>
    <w:rsid w:val="000B497B"/>
    <w:rsid w:val="000B5B5B"/>
    <w:rsid w:val="000B7A95"/>
    <w:rsid w:val="000C074C"/>
    <w:rsid w:val="000C18CF"/>
    <w:rsid w:val="000D2766"/>
    <w:rsid w:val="000E480D"/>
    <w:rsid w:val="000E50A7"/>
    <w:rsid w:val="000F2110"/>
    <w:rsid w:val="000F4E33"/>
    <w:rsid w:val="000F62E7"/>
    <w:rsid w:val="000F6B96"/>
    <w:rsid w:val="001019DE"/>
    <w:rsid w:val="001022FA"/>
    <w:rsid w:val="001025A1"/>
    <w:rsid w:val="00103A36"/>
    <w:rsid w:val="00105545"/>
    <w:rsid w:val="00122781"/>
    <w:rsid w:val="001265AF"/>
    <w:rsid w:val="00136694"/>
    <w:rsid w:val="00137E06"/>
    <w:rsid w:val="0014058D"/>
    <w:rsid w:val="00140AF2"/>
    <w:rsid w:val="00141E71"/>
    <w:rsid w:val="00142103"/>
    <w:rsid w:val="00142B8B"/>
    <w:rsid w:val="0014552F"/>
    <w:rsid w:val="00152C84"/>
    <w:rsid w:val="00152F10"/>
    <w:rsid w:val="00155041"/>
    <w:rsid w:val="00156EA2"/>
    <w:rsid w:val="00161EC1"/>
    <w:rsid w:val="00162E04"/>
    <w:rsid w:val="0016323D"/>
    <w:rsid w:val="00163B15"/>
    <w:rsid w:val="00166DA7"/>
    <w:rsid w:val="00170248"/>
    <w:rsid w:val="00176E41"/>
    <w:rsid w:val="001A4344"/>
    <w:rsid w:val="001A6B82"/>
    <w:rsid w:val="001B66D2"/>
    <w:rsid w:val="001C4169"/>
    <w:rsid w:val="001E30B2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174B0"/>
    <w:rsid w:val="00224601"/>
    <w:rsid w:val="00236B4F"/>
    <w:rsid w:val="00237C76"/>
    <w:rsid w:val="00241089"/>
    <w:rsid w:val="00242AF9"/>
    <w:rsid w:val="00244049"/>
    <w:rsid w:val="00247A9A"/>
    <w:rsid w:val="002516A2"/>
    <w:rsid w:val="00267B3B"/>
    <w:rsid w:val="00285170"/>
    <w:rsid w:val="00286E65"/>
    <w:rsid w:val="00291F2C"/>
    <w:rsid w:val="002A0A7A"/>
    <w:rsid w:val="002A4007"/>
    <w:rsid w:val="002A55EA"/>
    <w:rsid w:val="002B1948"/>
    <w:rsid w:val="002B28A9"/>
    <w:rsid w:val="002B672E"/>
    <w:rsid w:val="002C2E0C"/>
    <w:rsid w:val="002C447F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22ED9"/>
    <w:rsid w:val="003334CD"/>
    <w:rsid w:val="00335F45"/>
    <w:rsid w:val="00342187"/>
    <w:rsid w:val="0034282F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3AF"/>
    <w:rsid w:val="003D05DD"/>
    <w:rsid w:val="003D47C6"/>
    <w:rsid w:val="003D6308"/>
    <w:rsid w:val="003E4EC7"/>
    <w:rsid w:val="003E6BCE"/>
    <w:rsid w:val="00401372"/>
    <w:rsid w:val="004148F9"/>
    <w:rsid w:val="004416F3"/>
    <w:rsid w:val="004418AD"/>
    <w:rsid w:val="004429D7"/>
    <w:rsid w:val="00444570"/>
    <w:rsid w:val="00452F67"/>
    <w:rsid w:val="00453AC8"/>
    <w:rsid w:val="0046026A"/>
    <w:rsid w:val="004674B7"/>
    <w:rsid w:val="00470914"/>
    <w:rsid w:val="00474A78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160F7"/>
    <w:rsid w:val="00525C27"/>
    <w:rsid w:val="00526A92"/>
    <w:rsid w:val="005352B8"/>
    <w:rsid w:val="005364DF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A30F8"/>
    <w:rsid w:val="005B008B"/>
    <w:rsid w:val="005B1D53"/>
    <w:rsid w:val="005B33BD"/>
    <w:rsid w:val="005C2135"/>
    <w:rsid w:val="005C7576"/>
    <w:rsid w:val="005D085B"/>
    <w:rsid w:val="005E0662"/>
    <w:rsid w:val="005E434D"/>
    <w:rsid w:val="005F035A"/>
    <w:rsid w:val="005F1471"/>
    <w:rsid w:val="005F169B"/>
    <w:rsid w:val="005F1910"/>
    <w:rsid w:val="0060537D"/>
    <w:rsid w:val="00606419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36CBC"/>
    <w:rsid w:val="0064014C"/>
    <w:rsid w:val="00645368"/>
    <w:rsid w:val="00647671"/>
    <w:rsid w:val="00657020"/>
    <w:rsid w:val="0066469F"/>
    <w:rsid w:val="00667790"/>
    <w:rsid w:val="00672A0C"/>
    <w:rsid w:val="006739A0"/>
    <w:rsid w:val="00681839"/>
    <w:rsid w:val="006864A0"/>
    <w:rsid w:val="006A2095"/>
    <w:rsid w:val="006B7861"/>
    <w:rsid w:val="006C09FB"/>
    <w:rsid w:val="006C0D4A"/>
    <w:rsid w:val="006C45C6"/>
    <w:rsid w:val="006C4E58"/>
    <w:rsid w:val="006C50CA"/>
    <w:rsid w:val="006C5AF7"/>
    <w:rsid w:val="006D073E"/>
    <w:rsid w:val="006D122E"/>
    <w:rsid w:val="006D2717"/>
    <w:rsid w:val="006D3E5D"/>
    <w:rsid w:val="006D462B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23A1F"/>
    <w:rsid w:val="007353A9"/>
    <w:rsid w:val="007407B0"/>
    <w:rsid w:val="007443DF"/>
    <w:rsid w:val="00745E4F"/>
    <w:rsid w:val="0074717E"/>
    <w:rsid w:val="00747AF9"/>
    <w:rsid w:val="00751ABE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4FDD"/>
    <w:rsid w:val="0079084B"/>
    <w:rsid w:val="00790B68"/>
    <w:rsid w:val="00796530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F3EE2"/>
    <w:rsid w:val="007F62F0"/>
    <w:rsid w:val="007F6ECE"/>
    <w:rsid w:val="008128E8"/>
    <w:rsid w:val="0081450A"/>
    <w:rsid w:val="0081451C"/>
    <w:rsid w:val="00821E51"/>
    <w:rsid w:val="0082306B"/>
    <w:rsid w:val="0084340D"/>
    <w:rsid w:val="00861FD8"/>
    <w:rsid w:val="00870C1D"/>
    <w:rsid w:val="008764C8"/>
    <w:rsid w:val="008772AB"/>
    <w:rsid w:val="00877609"/>
    <w:rsid w:val="008839C5"/>
    <w:rsid w:val="008856E0"/>
    <w:rsid w:val="008915E0"/>
    <w:rsid w:val="00891702"/>
    <w:rsid w:val="008A31CD"/>
    <w:rsid w:val="008A3977"/>
    <w:rsid w:val="008A400A"/>
    <w:rsid w:val="008B0EC7"/>
    <w:rsid w:val="008B20CE"/>
    <w:rsid w:val="008B4015"/>
    <w:rsid w:val="008B5315"/>
    <w:rsid w:val="008C2DC8"/>
    <w:rsid w:val="008C34BC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B5228"/>
    <w:rsid w:val="009B5FDF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06DBA"/>
    <w:rsid w:val="00A1070F"/>
    <w:rsid w:val="00A13489"/>
    <w:rsid w:val="00A15E82"/>
    <w:rsid w:val="00A208BA"/>
    <w:rsid w:val="00A231D8"/>
    <w:rsid w:val="00A25E26"/>
    <w:rsid w:val="00A26FB9"/>
    <w:rsid w:val="00A55A03"/>
    <w:rsid w:val="00A56217"/>
    <w:rsid w:val="00A56653"/>
    <w:rsid w:val="00A626AC"/>
    <w:rsid w:val="00A63CA0"/>
    <w:rsid w:val="00A9270E"/>
    <w:rsid w:val="00A95104"/>
    <w:rsid w:val="00AB1D7B"/>
    <w:rsid w:val="00AB2A8F"/>
    <w:rsid w:val="00AD2D17"/>
    <w:rsid w:val="00AD7998"/>
    <w:rsid w:val="00AE5409"/>
    <w:rsid w:val="00AF2BF3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F83"/>
    <w:rsid w:val="00B62B08"/>
    <w:rsid w:val="00B63874"/>
    <w:rsid w:val="00B6653C"/>
    <w:rsid w:val="00B67D0E"/>
    <w:rsid w:val="00B81A64"/>
    <w:rsid w:val="00B84FEB"/>
    <w:rsid w:val="00B859A4"/>
    <w:rsid w:val="00B86322"/>
    <w:rsid w:val="00B86B72"/>
    <w:rsid w:val="00B91AA0"/>
    <w:rsid w:val="00B92518"/>
    <w:rsid w:val="00B94569"/>
    <w:rsid w:val="00BB011D"/>
    <w:rsid w:val="00BB6134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C008E4"/>
    <w:rsid w:val="00C13F81"/>
    <w:rsid w:val="00C26762"/>
    <w:rsid w:val="00C35655"/>
    <w:rsid w:val="00C4092B"/>
    <w:rsid w:val="00C42157"/>
    <w:rsid w:val="00C47EE3"/>
    <w:rsid w:val="00C50FCA"/>
    <w:rsid w:val="00C63D72"/>
    <w:rsid w:val="00C67869"/>
    <w:rsid w:val="00C70A57"/>
    <w:rsid w:val="00C7675A"/>
    <w:rsid w:val="00C810A4"/>
    <w:rsid w:val="00C878B4"/>
    <w:rsid w:val="00C90EA5"/>
    <w:rsid w:val="00C91468"/>
    <w:rsid w:val="00C92624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D3B82"/>
    <w:rsid w:val="00CD5541"/>
    <w:rsid w:val="00CD6167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124B3"/>
    <w:rsid w:val="00D15A7F"/>
    <w:rsid w:val="00D225C4"/>
    <w:rsid w:val="00D24A81"/>
    <w:rsid w:val="00D2508B"/>
    <w:rsid w:val="00D25E76"/>
    <w:rsid w:val="00D26228"/>
    <w:rsid w:val="00D30900"/>
    <w:rsid w:val="00D315E5"/>
    <w:rsid w:val="00D34710"/>
    <w:rsid w:val="00D36C46"/>
    <w:rsid w:val="00D433A6"/>
    <w:rsid w:val="00D602C9"/>
    <w:rsid w:val="00D65954"/>
    <w:rsid w:val="00D75A77"/>
    <w:rsid w:val="00D76708"/>
    <w:rsid w:val="00D84319"/>
    <w:rsid w:val="00D8452C"/>
    <w:rsid w:val="00D87ED7"/>
    <w:rsid w:val="00D911D0"/>
    <w:rsid w:val="00D94FDC"/>
    <w:rsid w:val="00D97CEB"/>
    <w:rsid w:val="00DA2619"/>
    <w:rsid w:val="00DA7AD2"/>
    <w:rsid w:val="00DB6E36"/>
    <w:rsid w:val="00DC074E"/>
    <w:rsid w:val="00DC1186"/>
    <w:rsid w:val="00DC1396"/>
    <w:rsid w:val="00DD189B"/>
    <w:rsid w:val="00DD45DA"/>
    <w:rsid w:val="00DE1EE0"/>
    <w:rsid w:val="00DE28B1"/>
    <w:rsid w:val="00DE617B"/>
    <w:rsid w:val="00DF27A3"/>
    <w:rsid w:val="00DF6F38"/>
    <w:rsid w:val="00E10132"/>
    <w:rsid w:val="00E1395A"/>
    <w:rsid w:val="00E15089"/>
    <w:rsid w:val="00E25C94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802B8"/>
    <w:rsid w:val="00E82ACA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67DBB"/>
    <w:rsid w:val="00F7100A"/>
    <w:rsid w:val="00F75746"/>
    <w:rsid w:val="00F80166"/>
    <w:rsid w:val="00F82158"/>
    <w:rsid w:val="00F847D9"/>
    <w:rsid w:val="00F9087E"/>
    <w:rsid w:val="00F94CF9"/>
    <w:rsid w:val="00F94D14"/>
    <w:rsid w:val="00FB3963"/>
    <w:rsid w:val="00FB587B"/>
    <w:rsid w:val="00FC2E12"/>
    <w:rsid w:val="00FC3221"/>
    <w:rsid w:val="00FC6F2E"/>
    <w:rsid w:val="00FC7714"/>
    <w:rsid w:val="00FC7EDA"/>
    <w:rsid w:val="00FE4F91"/>
    <w:rsid w:val="00FF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CEC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PageNumber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semiHidden/>
    <w:pPr>
      <w:spacing w:after="120" w:line="280" w:lineRule="exact"/>
      <w:jc w:val="center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ITextkrper">
    <w:name w:val="PI_Textkörper"/>
    <w:basedOn w:val="Normal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Normal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Normal"/>
    <w:rPr>
      <w:sz w:val="20"/>
      <w:szCs w:val="20"/>
    </w:rPr>
  </w:style>
  <w:style w:type="paragraph" w:customStyle="1" w:styleId="txt">
    <w:name w:val="txt"/>
    <w:basedOn w:val="Normal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Normal"/>
    <w:pPr>
      <w:overflowPunct/>
      <w:autoSpaceDE/>
      <w:textAlignment w:val="auto"/>
    </w:pPr>
    <w:rPr>
      <w:lang w:val="de-DE"/>
    </w:rPr>
  </w:style>
  <w:style w:type="paragraph" w:styleId="BalloonText">
    <w:name w:val="Balloon Text"/>
    <w:basedOn w:val="Normal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Normal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Normal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Normal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PlainTextChar">
    <w:name w:val="Plain Text Char"/>
    <w:link w:val="Plain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06D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7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6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tc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9D4D-4AC3-4CA0-AE27-90451A60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5266</Characters>
  <Application>Microsoft Office Word</Application>
  <DocSecurity>0</DocSecurity>
  <Lines>125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Manager/>
  <Company/>
  <LinksUpToDate>false</LinksUpToDate>
  <CharactersWithSpaces>6019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/>
  <cp:keywords/>
  <cp:lastModifiedBy/>
  <cp:revision>1</cp:revision>
  <cp:lastPrinted>2019-06-26T09:20:00Z</cp:lastPrinted>
  <dcterms:created xsi:type="dcterms:W3CDTF">2022-09-29T10:15:00Z</dcterms:created>
  <dcterms:modified xsi:type="dcterms:W3CDTF">2022-09-29T11:48:00Z</dcterms:modified>
</cp:coreProperties>
</file>