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D03F" w14:textId="77777777" w:rsidR="00401C72" w:rsidRDefault="0085331C">
      <w:pPr>
        <w:pStyle w:val="berschrift1"/>
        <w:spacing w:before="720" w:after="720" w:line="260" w:lineRule="exact"/>
        <w:rPr>
          <w:sz w:val="20"/>
        </w:rPr>
      </w:pPr>
      <w:r>
        <w:rPr>
          <w:sz w:val="20"/>
        </w:rPr>
        <w:t>COMMUNIQUÉ DE PRESSE</w:t>
      </w:r>
    </w:p>
    <w:p w14:paraId="1713D376" w14:textId="77777777" w:rsidR="00401C72" w:rsidRDefault="0085331C">
      <w:pPr>
        <w:pStyle w:val="Kopfzeile"/>
        <w:tabs>
          <w:tab w:val="clear" w:pos="4536"/>
          <w:tab w:val="clear" w:pos="9072"/>
        </w:tabs>
        <w:spacing w:before="360" w:after="36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publie une nouvelle note d’application sur les supercondensateurs. </w:t>
      </w:r>
    </w:p>
    <w:p w14:paraId="6EA40FC9" w14:textId="77777777" w:rsidR="00401C72" w:rsidRDefault="0085331C">
      <w:pPr>
        <w:pStyle w:val="Kopfzeile"/>
        <w:tabs>
          <w:tab w:val="clear" w:pos="4536"/>
          <w:tab w:val="clear" w:pos="9072"/>
        </w:tabs>
        <w:spacing w:before="360" w:after="360"/>
        <w:rPr>
          <w:rFonts w:ascii="Arial" w:hAnsi="Arial" w:cs="Arial"/>
          <w:b/>
          <w:bCs/>
          <w:sz w:val="36"/>
        </w:rPr>
      </w:pPr>
      <w:r>
        <w:rPr>
          <w:rFonts w:ascii="Arial" w:hAnsi="Arial"/>
          <w:b/>
          <w:color w:val="000000"/>
          <w:sz w:val="36"/>
        </w:rPr>
        <w:t>Aide à la conception pour les applications de supercondensateurs</w:t>
      </w:r>
    </w:p>
    <w:p w14:paraId="26FE7B85" w14:textId="2B8A4C45" w:rsidR="00401C72" w:rsidRDefault="0085331C">
      <w:pPr>
        <w:pStyle w:val="Textkrper"/>
        <w:spacing w:before="120" w:after="120" w:line="260" w:lineRule="exact"/>
        <w:jc w:val="both"/>
        <w:rPr>
          <w:rFonts w:ascii="Arial" w:hAnsi="Arial"/>
          <w:color w:val="000000"/>
        </w:rPr>
      </w:pPr>
      <w:r>
        <w:rPr>
          <w:rFonts w:ascii="Arial" w:hAnsi="Arial"/>
          <w:color w:val="000000"/>
        </w:rPr>
        <w:t xml:space="preserve">Waldenburg (Allemagne), </w:t>
      </w:r>
      <w:r w:rsidR="0036331E">
        <w:rPr>
          <w:rFonts w:ascii="Arial" w:hAnsi="Arial"/>
          <w:color w:val="000000"/>
        </w:rPr>
        <w:t>le 3</w:t>
      </w:r>
      <w:r>
        <w:rPr>
          <w:rFonts w:ascii="Arial" w:hAnsi="Arial"/>
          <w:color w:val="000000"/>
        </w:rPr>
        <w:t xml:space="preserve"> février 2022 – Sous le titre « Always in balance - Balancing </w:t>
      </w:r>
      <w:proofErr w:type="spellStart"/>
      <w:r>
        <w:rPr>
          <w:rFonts w:ascii="Arial" w:hAnsi="Arial"/>
          <w:color w:val="000000"/>
        </w:rPr>
        <w:t>supercapacitors</w:t>
      </w:r>
      <w:proofErr w:type="spellEnd"/>
      <w:r>
        <w:rPr>
          <w:rFonts w:ascii="Arial" w:hAnsi="Arial"/>
          <w:color w:val="000000"/>
        </w:rPr>
        <w:t xml:space="preserve"> » (Toujours en équilibre - Équilibrer les supercondensateurs), Würth </w:t>
      </w:r>
      <w:proofErr w:type="spellStart"/>
      <w:r>
        <w:rPr>
          <w:rFonts w:ascii="Arial" w:hAnsi="Arial"/>
          <w:color w:val="000000"/>
        </w:rPr>
        <w:t>Elektronik</w:t>
      </w:r>
      <w:proofErr w:type="spellEnd"/>
      <w:r>
        <w:rPr>
          <w:rFonts w:ascii="Arial" w:hAnsi="Arial"/>
          <w:color w:val="000000"/>
        </w:rPr>
        <w:t xml:space="preserve"> a mis à disposition sur son site web un nouveau guide d’aide au développement. La dernière publication inclut l’expérience acquise en interne et répond à la relative méconnaissance de l’utilisation des supercondensateurs. Cela prolonge le soutien que Würth </w:t>
      </w:r>
      <w:proofErr w:type="spellStart"/>
      <w:r>
        <w:rPr>
          <w:rFonts w:ascii="Arial" w:hAnsi="Arial"/>
          <w:color w:val="000000"/>
        </w:rPr>
        <w:t>Elektronik</w:t>
      </w:r>
      <w:proofErr w:type="spellEnd"/>
      <w:r>
        <w:rPr>
          <w:rFonts w:ascii="Arial" w:hAnsi="Arial"/>
          <w:color w:val="000000"/>
        </w:rPr>
        <w:t xml:space="preserve"> a déjà fourni sous forme de notes d’application, de vidéos explicatives et de webinaires.</w:t>
      </w:r>
    </w:p>
    <w:p w14:paraId="0BD56D91" w14:textId="7FC3FFD9" w:rsidR="00401C72" w:rsidRDefault="0085331C">
      <w:pPr>
        <w:pStyle w:val="Textkrper"/>
        <w:spacing w:before="120" w:after="120" w:line="260" w:lineRule="exact"/>
        <w:jc w:val="both"/>
        <w:rPr>
          <w:rFonts w:ascii="Arial" w:hAnsi="Arial"/>
          <w:b w:val="0"/>
          <w:bCs w:val="0"/>
          <w:color w:val="000000"/>
        </w:rPr>
      </w:pPr>
      <w:r>
        <w:rPr>
          <w:rFonts w:ascii="Arial" w:hAnsi="Arial"/>
          <w:b w:val="0"/>
          <w:color w:val="000000"/>
        </w:rPr>
        <w:t xml:space="preserve">Bien que les supercondensateurs, tels que la série </w:t>
      </w:r>
      <w:hyperlink r:id="rId8" w:history="1">
        <w:r>
          <w:rPr>
            <w:rStyle w:val="Hyperlink"/>
            <w:rFonts w:ascii="Arial" w:hAnsi="Arial"/>
            <w:b w:val="0"/>
          </w:rPr>
          <w:t>WCAP-STSC</w:t>
        </w:r>
      </w:hyperlink>
      <w:r>
        <w:rPr>
          <w:rFonts w:ascii="Arial" w:hAnsi="Arial"/>
          <w:b w:val="0"/>
          <w:color w:val="000000"/>
        </w:rPr>
        <w:t xml:space="preserve"> de Würth </w:t>
      </w:r>
      <w:proofErr w:type="spellStart"/>
      <w:r>
        <w:rPr>
          <w:rFonts w:ascii="Arial" w:hAnsi="Arial"/>
          <w:b w:val="0"/>
          <w:color w:val="000000"/>
        </w:rPr>
        <w:t>Elektronik</w:t>
      </w:r>
      <w:proofErr w:type="spellEnd"/>
      <w:r>
        <w:rPr>
          <w:rFonts w:ascii="Arial" w:hAnsi="Arial"/>
          <w:b w:val="0"/>
          <w:color w:val="000000"/>
        </w:rPr>
        <w:t xml:space="preserve">, ne se distinguent essentiellement des autres condensateurs que par leur densité énergétique plus élevée, ils ouvrent la voie à des applications complètement différentes. Les ingénieurs produits de Würth </w:t>
      </w:r>
      <w:proofErr w:type="spellStart"/>
      <w:r>
        <w:rPr>
          <w:rFonts w:ascii="Arial" w:hAnsi="Arial"/>
          <w:b w:val="0"/>
          <w:color w:val="000000"/>
        </w:rPr>
        <w:t>Elektronik</w:t>
      </w:r>
      <w:proofErr w:type="spellEnd"/>
      <w:r>
        <w:rPr>
          <w:rFonts w:ascii="Arial" w:hAnsi="Arial"/>
          <w:b w:val="0"/>
          <w:color w:val="000000"/>
        </w:rPr>
        <w:t xml:space="preserve"> se sont donnés pour mission d’aider les développeurs, notamment dans l’application des condensateurs comme dispositifs de stockage d’énergie, en leur fournissant des concepts, des critères de sélection et des bases de calcul.</w:t>
      </w:r>
    </w:p>
    <w:p w14:paraId="15D91BC2" w14:textId="3A8F7CB4" w:rsidR="00401C72" w:rsidRDefault="0085331C">
      <w:pPr>
        <w:pStyle w:val="Textkrper"/>
        <w:spacing w:before="120" w:after="120" w:line="260" w:lineRule="exact"/>
        <w:jc w:val="both"/>
        <w:rPr>
          <w:rFonts w:ascii="Arial" w:hAnsi="Arial"/>
          <w:b w:val="0"/>
          <w:bCs w:val="0"/>
        </w:rPr>
      </w:pPr>
      <w:r>
        <w:rPr>
          <w:rFonts w:ascii="Arial" w:hAnsi="Arial"/>
          <w:b w:val="0"/>
        </w:rPr>
        <w:t xml:space="preserve">Qu’il s’agisse de prévenir la perte de données en cas de panne de courant, de dispositifs de réseau critiques ou de technologie médicale, les supercondensateurs sont des composants durables pour les alimentations in interruptibles et pour le besoin de </w:t>
      </w:r>
      <w:proofErr w:type="gramStart"/>
      <w:r>
        <w:rPr>
          <w:rFonts w:ascii="Arial" w:hAnsi="Arial"/>
          <w:b w:val="0"/>
        </w:rPr>
        <w:t>grosses puissance</w:t>
      </w:r>
      <w:proofErr w:type="gramEnd"/>
      <w:r>
        <w:rPr>
          <w:rFonts w:ascii="Arial" w:hAnsi="Arial"/>
          <w:b w:val="0"/>
        </w:rPr>
        <w:t xml:space="preserve"> sur une courte durée. </w:t>
      </w:r>
      <w:hyperlink r:id="rId9" w:history="1">
        <w:r>
          <w:rPr>
            <w:rStyle w:val="Hyperlink"/>
            <w:rFonts w:ascii="Arial" w:hAnsi="Arial"/>
            <w:b w:val="0"/>
          </w:rPr>
          <w:t>La note d’application ANP090 :</w:t>
        </w:r>
      </w:hyperlink>
      <w:hyperlink r:id="rId10" w:history="1">
        <w:r>
          <w:rPr>
            <w:rStyle w:val="Hyperlink"/>
            <w:rFonts w:ascii="Arial" w:hAnsi="Arial"/>
            <w:b w:val="0"/>
          </w:rPr>
          <w:t xml:space="preserve"> Maintenir l’équilibre – Équilibrer les supercondensateurs</w:t>
        </w:r>
      </w:hyperlink>
      <w:r>
        <w:rPr>
          <w:rFonts w:ascii="Arial" w:hAnsi="Arial"/>
          <w:b w:val="0"/>
          <w:color w:val="FF0000"/>
        </w:rPr>
        <w:t xml:space="preserve"> </w:t>
      </w:r>
      <w:r>
        <w:rPr>
          <w:rFonts w:ascii="Arial" w:hAnsi="Arial"/>
          <w:b w:val="0"/>
        </w:rPr>
        <w:t xml:space="preserve">permet de résoudre le problème des supercondensateurs qui fonctionnent normalement à des tensions d’environ 2,7 V. Pour atteindre des tensions de fonctionnement plus élevées, une cascade de supercondensateurs connectés en série est nécessaire. Les fluctuations de la capacité et de la résistance d’isolement dues à la fabrication ou au vieillissement rendent nécessaire l’égalisation (équilibrage) de la tension. La note d’application de René Kalbitz, chef de produit, et Frank Puhane, responsable de l’ingénierie technique, chez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pour la division condensateurs, couvre le contexte théorique, les mesures et les exemples pratiques tout en proposant différents concepts d’équilibrage.</w:t>
      </w:r>
    </w:p>
    <w:p w14:paraId="463FB56D" w14:textId="090E0DEC" w:rsidR="00401C72" w:rsidRDefault="0085331C">
      <w:pPr>
        <w:pStyle w:val="Textkrper"/>
        <w:spacing w:before="120" w:after="120" w:line="260" w:lineRule="exact"/>
        <w:jc w:val="both"/>
        <w:rPr>
          <w:rFonts w:ascii="Arial" w:hAnsi="Arial"/>
          <w:b w:val="0"/>
          <w:bCs w:val="0"/>
        </w:rPr>
      </w:pPr>
      <w:r>
        <w:rPr>
          <w:rFonts w:ascii="Arial" w:hAnsi="Arial"/>
          <w:b w:val="0"/>
        </w:rPr>
        <w:t xml:space="preserve">Retrouvez tous les textes et vidéos sur le thème des supercondensateurs sur la </w:t>
      </w:r>
      <w:hyperlink r:id="rId11" w:history="1">
        <w:r>
          <w:rPr>
            <w:rStyle w:val="Hyperlink"/>
            <w:rFonts w:ascii="Arial" w:hAnsi="Arial"/>
            <w:b w:val="0"/>
          </w:rPr>
          <w:t>page produit WCAP-STSC.</w:t>
        </w:r>
      </w:hyperlink>
      <w:r>
        <w:rPr>
          <w:rFonts w:ascii="Arial" w:hAnsi="Arial"/>
          <w:b w:val="0"/>
        </w:rPr>
        <w:t xml:space="preserve"> </w:t>
      </w:r>
    </w:p>
    <w:p w14:paraId="151FFF20" w14:textId="77777777" w:rsidR="00401C72" w:rsidRDefault="0085331C">
      <w:pPr>
        <w:pStyle w:val="Textkrper"/>
        <w:spacing w:before="120" w:after="120" w:line="260" w:lineRule="exact"/>
        <w:jc w:val="both"/>
        <w:rPr>
          <w:rFonts w:ascii="Arial" w:hAnsi="Arial"/>
          <w:b w:val="0"/>
          <w:bCs w:val="0"/>
        </w:rPr>
      </w:pPr>
      <w:r>
        <w:rPr>
          <w:rFonts w:ascii="Arial" w:hAnsi="Arial"/>
          <w:b w:val="0"/>
        </w:rPr>
        <w:t xml:space="preserve">En outre, Würth </w:t>
      </w:r>
      <w:proofErr w:type="spellStart"/>
      <w:r>
        <w:rPr>
          <w:rFonts w:ascii="Arial" w:hAnsi="Arial"/>
          <w:b w:val="0"/>
        </w:rPr>
        <w:t>Elektronik</w:t>
      </w:r>
      <w:proofErr w:type="spellEnd"/>
      <w:r>
        <w:rPr>
          <w:rFonts w:ascii="Arial" w:hAnsi="Arial"/>
          <w:b w:val="0"/>
        </w:rPr>
        <w:t xml:space="preserve"> propose l’</w:t>
      </w:r>
      <w:hyperlink r:id="rId12" w:history="1">
        <w:r>
          <w:rPr>
            <w:rStyle w:val="Hyperlink"/>
            <w:rFonts w:ascii="Arial" w:hAnsi="Arial"/>
            <w:b w:val="0"/>
          </w:rPr>
          <w:t xml:space="preserve">ABC of </w:t>
        </w:r>
        <w:proofErr w:type="spellStart"/>
        <w:r>
          <w:rPr>
            <w:rStyle w:val="Hyperlink"/>
            <w:rFonts w:ascii="Arial" w:hAnsi="Arial"/>
            <w:b w:val="0"/>
          </w:rPr>
          <w:t>Capacitors</w:t>
        </w:r>
        <w:proofErr w:type="spellEnd"/>
      </w:hyperlink>
      <w:r>
        <w:rPr>
          <w:rFonts w:ascii="Arial" w:hAnsi="Arial"/>
          <w:b w:val="0"/>
        </w:rPr>
        <w:t xml:space="preserve"> (ABC des condensateurs), un livre technique qui constitue une introduction à la technologie des condensateurs.</w:t>
      </w:r>
    </w:p>
    <w:p w14:paraId="078B3104" w14:textId="77777777" w:rsidR="00401C72" w:rsidRDefault="00401C72">
      <w:pPr>
        <w:pStyle w:val="Textkrper"/>
        <w:spacing w:before="120" w:after="120" w:line="260" w:lineRule="exact"/>
        <w:jc w:val="both"/>
        <w:rPr>
          <w:rFonts w:ascii="Arial" w:hAnsi="Arial"/>
          <w:b w:val="0"/>
          <w:bCs w:val="0"/>
        </w:rPr>
      </w:pPr>
    </w:p>
    <w:p w14:paraId="01E41763" w14:textId="77777777" w:rsidR="00401C72" w:rsidRDefault="00401C72">
      <w:pPr>
        <w:pStyle w:val="PITextkrper"/>
        <w:pBdr>
          <w:top w:val="single" w:sz="4" w:space="1" w:color="auto"/>
        </w:pBdr>
        <w:spacing w:before="240"/>
        <w:rPr>
          <w:b/>
          <w:sz w:val="18"/>
          <w:szCs w:val="18"/>
        </w:rPr>
      </w:pPr>
    </w:p>
    <w:p w14:paraId="47016255" w14:textId="77777777" w:rsidR="008A2362" w:rsidRPr="00591131" w:rsidRDefault="008A2362" w:rsidP="008A2362">
      <w:pPr>
        <w:spacing w:after="120" w:line="280" w:lineRule="exact"/>
        <w:rPr>
          <w:rFonts w:ascii="Arial" w:hAnsi="Arial" w:cs="Arial"/>
          <w:b/>
          <w:bCs/>
          <w:sz w:val="18"/>
          <w:szCs w:val="18"/>
        </w:rPr>
      </w:pPr>
      <w:r w:rsidRPr="00591131">
        <w:rPr>
          <w:rFonts w:ascii="Arial" w:hAnsi="Arial"/>
          <w:b/>
          <w:sz w:val="18"/>
        </w:rPr>
        <w:t>Images disponibles</w:t>
      </w:r>
    </w:p>
    <w:p w14:paraId="1B261FB6" w14:textId="77777777" w:rsidR="008A2362" w:rsidRPr="00591131" w:rsidRDefault="008A2362" w:rsidP="008A2362">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3"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01C72" w14:paraId="4F32D7F4" w14:textId="77777777">
        <w:trPr>
          <w:trHeight w:val="1701"/>
        </w:trPr>
        <w:tc>
          <w:tcPr>
            <w:tcW w:w="3510" w:type="dxa"/>
          </w:tcPr>
          <w:p w14:paraId="12498E77" w14:textId="77777777" w:rsidR="00401C72" w:rsidRDefault="0085331C">
            <w:pPr>
              <w:pStyle w:val="txt"/>
              <w:rPr>
                <w:b/>
                <w:bCs/>
                <w:sz w:val="18"/>
              </w:rPr>
            </w:pPr>
            <w:r>
              <w:rPr>
                <w:b/>
              </w:rPr>
              <w:br/>
            </w:r>
            <w:r>
              <w:rPr>
                <w:noProof/>
                <w:lang w:val="en-US" w:eastAsia="zh-CN"/>
              </w:rPr>
              <w:drawing>
                <wp:inline distT="0" distB="0" distL="0" distR="0" wp14:anchorId="6A4F7950" wp14:editId="05EDD51F">
                  <wp:extent cx="2142490" cy="1446530"/>
                  <wp:effectExtent l="0" t="0" r="0" b="0"/>
                  <wp:docPr id="3" name="Bild 1" descr="https://www.we-online.com/katalog/media/o129765v209 WCAP-STSC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129765v209 WCAP-STSC_group.jpg"/>
                          <pic:cNvPicPr>
                            <a:picLocks noChangeAspect="1" noChangeArrowheads="1"/>
                          </pic:cNvPicPr>
                        </pic:nvPicPr>
                        <pic:blipFill>
                          <a:blip r:embed="rId14" cstate="print">
                            <a:extLst>
                              <a:ext uri="{28A0092B-C50C-407E-A947-70E740481C1C}">
                                <a14:useLocalDpi xmlns:a14="http://schemas.microsoft.com/office/drawing/2010/main" val="0"/>
                              </a:ext>
                            </a:extLst>
                          </a:blip>
                          <a:srcRect t="16444" b="16473"/>
                          <a:stretch>
                            <a:fillRect/>
                          </a:stretch>
                        </pic:blipFill>
                        <pic:spPr bwMode="auto">
                          <a:xfrm>
                            <a:off x="0" y="0"/>
                            <a:ext cx="2142490" cy="1446530"/>
                          </a:xfrm>
                          <a:prstGeom prst="rect">
                            <a:avLst/>
                          </a:prstGeom>
                          <a:noFill/>
                          <a:ln>
                            <a:noFill/>
                          </a:ln>
                        </pic:spPr>
                      </pic:pic>
                    </a:graphicData>
                  </a:graphic>
                </wp:inline>
              </w:drawing>
            </w:r>
            <w:r>
              <w:rPr>
                <w:sz w:val="16"/>
              </w:rPr>
              <w:t xml:space="preserve">Source : Würth </w:t>
            </w:r>
            <w:proofErr w:type="spellStart"/>
            <w:r>
              <w:rPr>
                <w:sz w:val="16"/>
              </w:rPr>
              <w:t>Elektronik</w:t>
            </w:r>
            <w:proofErr w:type="spellEnd"/>
            <w:r>
              <w:rPr>
                <w:sz w:val="16"/>
              </w:rPr>
              <w:t xml:space="preserve"> </w:t>
            </w:r>
          </w:p>
          <w:p w14:paraId="2AEB1D5C" w14:textId="37FE08E0" w:rsidR="00401C72" w:rsidRDefault="0085331C">
            <w:pPr>
              <w:autoSpaceDE w:val="0"/>
              <w:autoSpaceDN w:val="0"/>
              <w:adjustRightInd w:val="0"/>
              <w:rPr>
                <w:rFonts w:ascii="Arial" w:hAnsi="Arial" w:cs="Arial"/>
                <w:b/>
                <w:sz w:val="18"/>
                <w:szCs w:val="18"/>
              </w:rPr>
            </w:pPr>
            <w:r>
              <w:rPr>
                <w:rFonts w:ascii="Arial" w:hAnsi="Arial"/>
                <w:b/>
                <w:sz w:val="18"/>
              </w:rPr>
              <w:t xml:space="preserve">Lors de l’utilisation de supercondensateurs tels que le WCAP-STSC, des facteurs sont différents mais essentiels par rapport aux condensateurs classiques. Würth </w:t>
            </w:r>
            <w:proofErr w:type="spellStart"/>
            <w:r>
              <w:rPr>
                <w:rFonts w:ascii="Arial" w:hAnsi="Arial"/>
                <w:b/>
                <w:sz w:val="18"/>
              </w:rPr>
              <w:t>Elektronik</w:t>
            </w:r>
            <w:proofErr w:type="spellEnd"/>
            <w:r>
              <w:rPr>
                <w:rFonts w:ascii="Arial" w:hAnsi="Arial"/>
                <w:b/>
                <w:sz w:val="18"/>
              </w:rPr>
              <w:t xml:space="preserve"> soutient les développeurs avec des notes d’application et une aide à la conception. </w:t>
            </w:r>
          </w:p>
          <w:p w14:paraId="18D219C2" w14:textId="77777777" w:rsidR="00401C72" w:rsidRDefault="00401C72">
            <w:pPr>
              <w:autoSpaceDE w:val="0"/>
              <w:autoSpaceDN w:val="0"/>
              <w:adjustRightInd w:val="0"/>
              <w:rPr>
                <w:rFonts w:ascii="Arial" w:hAnsi="Arial" w:cs="Arial"/>
                <w:b/>
                <w:bCs/>
                <w:sz w:val="18"/>
                <w:szCs w:val="18"/>
              </w:rPr>
            </w:pPr>
          </w:p>
        </w:tc>
      </w:tr>
    </w:tbl>
    <w:p w14:paraId="20C96C61" w14:textId="6B0C3916" w:rsidR="00401C72" w:rsidRDefault="00401C72">
      <w:pPr>
        <w:pStyle w:val="Textkrper"/>
        <w:spacing w:before="120" w:after="120" w:line="260" w:lineRule="exact"/>
        <w:jc w:val="both"/>
      </w:pPr>
    </w:p>
    <w:p w14:paraId="7354DFBC" w14:textId="77777777" w:rsidR="008A2362" w:rsidRPr="00591131" w:rsidRDefault="008A2362" w:rsidP="008A2362">
      <w:pPr>
        <w:pStyle w:val="Textkrper"/>
        <w:spacing w:before="120" w:after="120" w:line="260" w:lineRule="exact"/>
        <w:jc w:val="both"/>
        <w:rPr>
          <w:rFonts w:ascii="Arial" w:hAnsi="Arial"/>
          <w:b w:val="0"/>
          <w:bCs w:val="0"/>
        </w:rPr>
      </w:pPr>
    </w:p>
    <w:p w14:paraId="1A182CBB" w14:textId="77777777" w:rsidR="008A2362" w:rsidRPr="00591131" w:rsidRDefault="008A2362" w:rsidP="008A2362">
      <w:pPr>
        <w:pStyle w:val="PITextkrper"/>
        <w:pBdr>
          <w:top w:val="single" w:sz="4" w:space="1" w:color="auto"/>
        </w:pBdr>
        <w:spacing w:before="240"/>
        <w:rPr>
          <w:b/>
          <w:sz w:val="18"/>
          <w:szCs w:val="18"/>
        </w:rPr>
      </w:pPr>
    </w:p>
    <w:p w14:paraId="2C78B81C" w14:textId="77777777" w:rsidR="008A2362" w:rsidRPr="00591131" w:rsidRDefault="008A2362" w:rsidP="008A2362">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2E3BCA29" w14:textId="77777777" w:rsidR="008A2362" w:rsidRPr="00591131" w:rsidRDefault="008A2362" w:rsidP="008A2362">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6C76561" w14:textId="77777777" w:rsidR="008A2362" w:rsidRPr="00591131" w:rsidRDefault="008A2362" w:rsidP="008A2362">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6A8915F3" w14:textId="14055BFF" w:rsidR="008A2362" w:rsidRDefault="008A2362" w:rsidP="008A2362">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CA6F884" w14:textId="77777777" w:rsidR="00F50F25" w:rsidRPr="00591131" w:rsidRDefault="00F50F25" w:rsidP="008A2362">
      <w:pPr>
        <w:pStyle w:val="Textkrper"/>
        <w:spacing w:before="120" w:after="120" w:line="276" w:lineRule="auto"/>
        <w:jc w:val="both"/>
        <w:rPr>
          <w:rFonts w:ascii="Arial" w:hAnsi="Arial"/>
          <w:b w:val="0"/>
        </w:rPr>
      </w:pPr>
    </w:p>
    <w:p w14:paraId="281BF1B5" w14:textId="3C1F65F4" w:rsidR="008A2362" w:rsidRPr="00591131" w:rsidRDefault="008A2362" w:rsidP="008A2362">
      <w:pPr>
        <w:pStyle w:val="Textkrper"/>
        <w:spacing w:before="120" w:after="120" w:line="276" w:lineRule="auto"/>
        <w:jc w:val="both"/>
        <w:rPr>
          <w:rFonts w:ascii="Arial" w:hAnsi="Arial"/>
          <w:b w:val="0"/>
        </w:rPr>
      </w:pPr>
      <w:r w:rsidRPr="009E1B16">
        <w:rPr>
          <w:rFonts w:ascii="Arial" w:hAnsi="Arial"/>
          <w:b w:val="0"/>
        </w:rPr>
        <w:t xml:space="preserve">Würth </w:t>
      </w:r>
      <w:proofErr w:type="spellStart"/>
      <w:r w:rsidRPr="009E1B16">
        <w:rPr>
          <w:rFonts w:ascii="Arial" w:hAnsi="Arial"/>
          <w:b w:val="0"/>
        </w:rPr>
        <w:t>Elektronik</w:t>
      </w:r>
      <w:proofErr w:type="spellEnd"/>
      <w:r w:rsidRPr="009E1B16">
        <w:rPr>
          <w:rFonts w:ascii="Arial" w:hAnsi="Arial"/>
          <w:b w:val="0"/>
        </w:rPr>
        <w:t xml:space="preserve"> fait partie du groupe Würth, leader mondial sur le marché des techniques d'assemblage et de fixation. La société emploie </w:t>
      </w:r>
      <w:r w:rsidR="00807505" w:rsidRPr="009E1B16">
        <w:rPr>
          <w:rFonts w:ascii="Arial" w:hAnsi="Arial"/>
          <w:b w:val="0"/>
        </w:rPr>
        <w:t>80</w:t>
      </w:r>
      <w:r w:rsidRPr="009E1B16">
        <w:rPr>
          <w:rFonts w:ascii="Arial" w:hAnsi="Arial"/>
          <w:b w:val="0"/>
        </w:rPr>
        <w:t>00 personnes et a réalisé un chiffre d'affaires</w:t>
      </w:r>
      <w:r w:rsidR="001C0F6C" w:rsidRPr="009E1B16">
        <w:rPr>
          <w:rFonts w:ascii="Arial" w:hAnsi="Arial"/>
          <w:b w:val="0"/>
        </w:rPr>
        <w:t xml:space="preserve"> de 1,</w:t>
      </w:r>
      <w:r w:rsidR="00CD4434" w:rsidRPr="009E1B16">
        <w:rPr>
          <w:rFonts w:ascii="Arial" w:hAnsi="Arial"/>
          <w:b w:val="0"/>
        </w:rPr>
        <w:t>0</w:t>
      </w:r>
      <w:r w:rsidR="001C0F6C" w:rsidRPr="009E1B16">
        <w:rPr>
          <w:rFonts w:ascii="Arial" w:hAnsi="Arial"/>
          <w:b w:val="0"/>
        </w:rPr>
        <w:t xml:space="preserve">9 milliard d’euros </w:t>
      </w:r>
      <w:r w:rsidRPr="009E1B16">
        <w:rPr>
          <w:rFonts w:ascii="Arial" w:hAnsi="Arial"/>
          <w:b w:val="0"/>
        </w:rPr>
        <w:t>en 202</w:t>
      </w:r>
      <w:r w:rsidR="0085331C" w:rsidRPr="009E1B16">
        <w:rPr>
          <w:rFonts w:ascii="Arial" w:hAnsi="Arial"/>
          <w:b w:val="0"/>
        </w:rPr>
        <w:t>1</w:t>
      </w:r>
      <w:r w:rsidRPr="009E1B16">
        <w:rPr>
          <w:rFonts w:ascii="Arial" w:hAnsi="Arial"/>
          <w:b w:val="0"/>
        </w:rPr>
        <w:t>.</w:t>
      </w:r>
    </w:p>
    <w:p w14:paraId="53146BD8" w14:textId="77777777" w:rsidR="008A2362" w:rsidRPr="00591131" w:rsidRDefault="008A2362" w:rsidP="008A2362">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517A150F" w14:textId="77777777" w:rsidR="008A2362" w:rsidRPr="00591131" w:rsidRDefault="008A2362" w:rsidP="008A2362">
      <w:pPr>
        <w:pStyle w:val="Textkrper"/>
        <w:spacing w:before="120" w:after="120" w:line="276" w:lineRule="auto"/>
      </w:pPr>
      <w:r w:rsidRPr="00591131">
        <w:rPr>
          <w:rFonts w:ascii="Arial" w:hAnsi="Arial"/>
        </w:rPr>
        <w:t>Plus amples informations sur le site www.we-online.</w:t>
      </w:r>
      <w:r>
        <w:rPr>
          <w:rFonts w:ascii="Arial" w:hAnsi="Arial"/>
        </w:rPr>
        <w:t>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A2362" w:rsidRPr="00591131" w14:paraId="090CF2A2" w14:textId="77777777" w:rsidTr="0037189F">
        <w:tc>
          <w:tcPr>
            <w:tcW w:w="3902" w:type="dxa"/>
            <w:shd w:val="clear" w:color="auto" w:fill="auto"/>
            <w:hideMark/>
          </w:tcPr>
          <w:p w14:paraId="5386C740" w14:textId="77777777" w:rsidR="008A2362" w:rsidRPr="00591131" w:rsidRDefault="008A2362" w:rsidP="0037189F">
            <w:pPr>
              <w:pStyle w:val="Textkrper"/>
              <w:autoSpaceDE/>
              <w:adjustRightInd/>
              <w:spacing w:before="120" w:after="120" w:line="276" w:lineRule="auto"/>
              <w:rPr>
                <w:b w:val="0"/>
                <w:bCs w:val="0"/>
              </w:rPr>
            </w:pPr>
            <w:r w:rsidRPr="00591131">
              <w:br w:type="page"/>
            </w:r>
            <w:r w:rsidRPr="00591131">
              <w:rPr>
                <w:b w:val="0"/>
                <w:bCs w:val="0"/>
              </w:rPr>
              <w:br w:type="page"/>
            </w:r>
          </w:p>
          <w:p w14:paraId="7496C42E" w14:textId="77777777" w:rsidR="008A2362" w:rsidRPr="00591131" w:rsidRDefault="008A2362" w:rsidP="0037189F">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56F1020F" w14:textId="77777777" w:rsidR="008A2362" w:rsidRPr="006078E2" w:rsidRDefault="008A2362" w:rsidP="0037189F">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76E8E245" w14:textId="77777777" w:rsidR="008A2362" w:rsidRDefault="008A2362" w:rsidP="0037189F">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5F3D75B0" w14:textId="77777777" w:rsidR="008A2362" w:rsidRDefault="008A2362" w:rsidP="0037189F">
            <w:pPr>
              <w:spacing w:before="120" w:after="120" w:line="276" w:lineRule="auto"/>
              <w:rPr>
                <w:rFonts w:ascii="Arial" w:hAnsi="Arial" w:cs="Arial"/>
                <w:bCs/>
                <w:sz w:val="20"/>
              </w:rPr>
            </w:pPr>
            <w:r>
              <w:rPr>
                <w:rFonts w:ascii="Arial" w:hAnsi="Arial" w:cs="Arial"/>
                <w:bCs/>
                <w:sz w:val="20"/>
              </w:rPr>
              <w:t>www.we-online.com</w:t>
            </w:r>
          </w:p>
          <w:p w14:paraId="53D8CE42" w14:textId="77777777" w:rsidR="008A2362" w:rsidRPr="00591131" w:rsidRDefault="008A2362" w:rsidP="0037189F">
            <w:pPr>
              <w:rPr>
                <w:rFonts w:ascii="Arial" w:hAnsi="Arial" w:cs="Arial"/>
                <w:sz w:val="20"/>
              </w:rPr>
            </w:pPr>
          </w:p>
          <w:p w14:paraId="3F6D9457" w14:textId="77777777" w:rsidR="008A2362" w:rsidRPr="00591131" w:rsidRDefault="008A2362" w:rsidP="0037189F">
            <w:pPr>
              <w:rPr>
                <w:rFonts w:ascii="Arial" w:hAnsi="Arial" w:cs="Arial"/>
                <w:sz w:val="20"/>
              </w:rPr>
            </w:pPr>
          </w:p>
        </w:tc>
        <w:tc>
          <w:tcPr>
            <w:tcW w:w="3193" w:type="dxa"/>
            <w:shd w:val="clear" w:color="auto" w:fill="auto"/>
            <w:hideMark/>
          </w:tcPr>
          <w:p w14:paraId="69E0A9B1" w14:textId="77777777" w:rsidR="008A2362" w:rsidRPr="00591131" w:rsidRDefault="008A2362" w:rsidP="0037189F">
            <w:pPr>
              <w:pStyle w:val="Textkrper"/>
              <w:tabs>
                <w:tab w:val="left" w:pos="1065"/>
              </w:tabs>
              <w:autoSpaceDE/>
              <w:adjustRightInd/>
              <w:spacing w:before="120" w:after="120" w:line="276" w:lineRule="auto"/>
              <w:rPr>
                <w:rFonts w:ascii="Arial" w:hAnsi="Arial"/>
              </w:rPr>
            </w:pPr>
          </w:p>
          <w:p w14:paraId="6ADACE34" w14:textId="77777777" w:rsidR="008A2362" w:rsidRPr="00591131" w:rsidRDefault="008A2362" w:rsidP="0037189F">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67259819" w14:textId="77777777" w:rsidR="008A2362" w:rsidRPr="00591131" w:rsidRDefault="008A2362" w:rsidP="0037189F">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2848F6FD" w14:textId="77777777" w:rsidR="008A2362" w:rsidRPr="00591131" w:rsidRDefault="008A2362" w:rsidP="0037189F">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1237FDB6" w14:textId="77777777" w:rsidR="008A2362" w:rsidRPr="00591131" w:rsidRDefault="008A2362" w:rsidP="0037189F">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50C4D737" w14:textId="77777777" w:rsidR="008A2362" w:rsidRPr="00591131" w:rsidRDefault="008A2362" w:rsidP="008A2362">
      <w:pPr>
        <w:pStyle w:val="Textkrper"/>
        <w:spacing w:before="120" w:after="120" w:line="276" w:lineRule="auto"/>
      </w:pPr>
    </w:p>
    <w:p w14:paraId="4EF6F654" w14:textId="77777777" w:rsidR="008A2362" w:rsidRDefault="008A2362">
      <w:pPr>
        <w:pStyle w:val="Textkrper"/>
        <w:spacing w:before="120" w:after="120" w:line="260" w:lineRule="exact"/>
        <w:jc w:val="both"/>
      </w:pPr>
    </w:p>
    <w:sectPr w:rsidR="008A2362">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F238" w14:textId="77777777" w:rsidR="00401C72" w:rsidRDefault="0085331C">
      <w:r>
        <w:separator/>
      </w:r>
    </w:p>
  </w:endnote>
  <w:endnote w:type="continuationSeparator" w:id="0">
    <w:p w14:paraId="4967A3F8" w14:textId="77777777" w:rsidR="00401C72" w:rsidRDefault="0085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3DF5" w14:textId="0376007B" w:rsidR="00401C72" w:rsidRDefault="0085331C">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EF321F">
      <w:rPr>
        <w:rFonts w:ascii="Arial" w:hAnsi="Arial" w:cs="Arial"/>
        <w:noProof/>
        <w:snapToGrid w:val="0"/>
        <w:sz w:val="16"/>
      </w:rPr>
      <w:t>WTH1PI1044_fr.docx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1E3E" w14:textId="77777777" w:rsidR="00401C72" w:rsidRDefault="0085331C">
      <w:r>
        <w:separator/>
      </w:r>
    </w:p>
  </w:footnote>
  <w:footnote w:type="continuationSeparator" w:id="0">
    <w:p w14:paraId="40B3FDF4" w14:textId="77777777" w:rsidR="00401C72" w:rsidRDefault="0085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9DBC" w14:textId="77777777" w:rsidR="00401C72" w:rsidRDefault="0085331C">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152414C6" wp14:editId="243DA68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72"/>
    <w:rsid w:val="001C0F6C"/>
    <w:rsid w:val="0036331E"/>
    <w:rsid w:val="00401C72"/>
    <w:rsid w:val="00807505"/>
    <w:rsid w:val="0085331C"/>
    <w:rsid w:val="008A2362"/>
    <w:rsid w:val="009E1B16"/>
    <w:rsid w:val="00CD4434"/>
    <w:rsid w:val="00EF321F"/>
    <w:rsid w:val="00F50F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300F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0830435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57445697">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297829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98667442">
      <w:bodyDiv w:val="1"/>
      <w:marLeft w:val="0"/>
      <w:marRight w:val="0"/>
      <w:marTop w:val="0"/>
      <w:marBottom w:val="0"/>
      <w:divBdr>
        <w:top w:val="none" w:sz="0" w:space="0" w:color="auto"/>
        <w:left w:val="none" w:sz="0" w:space="0" w:color="auto"/>
        <w:bottom w:val="none" w:sz="0" w:space="0" w:color="auto"/>
        <w:right w:val="none" w:sz="0" w:space="0" w:color="auto"/>
      </w:divBdr>
      <w:divsChild>
        <w:div w:id="152919320">
          <w:marLeft w:val="0"/>
          <w:marRight w:val="0"/>
          <w:marTop w:val="0"/>
          <w:marBottom w:val="0"/>
          <w:divBdr>
            <w:top w:val="none" w:sz="0" w:space="0" w:color="auto"/>
            <w:left w:val="none" w:sz="0" w:space="0" w:color="auto"/>
            <w:bottom w:val="none" w:sz="0" w:space="0" w:color="auto"/>
            <w:right w:val="none" w:sz="0" w:space="0" w:color="auto"/>
          </w:divBdr>
        </w:div>
        <w:div w:id="629284604">
          <w:marLeft w:val="0"/>
          <w:marRight w:val="0"/>
          <w:marTop w:val="0"/>
          <w:marBottom w:val="0"/>
          <w:divBdr>
            <w:top w:val="none" w:sz="0" w:space="0" w:color="auto"/>
            <w:left w:val="none" w:sz="0" w:space="0" w:color="auto"/>
            <w:bottom w:val="none" w:sz="0" w:space="0" w:color="auto"/>
            <w:right w:val="none" w:sz="0" w:space="0" w:color="auto"/>
          </w:divBdr>
        </w:div>
      </w:divsChild>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5794239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7980260">
      <w:bodyDiv w:val="1"/>
      <w:marLeft w:val="0"/>
      <w:marRight w:val="0"/>
      <w:marTop w:val="0"/>
      <w:marBottom w:val="0"/>
      <w:divBdr>
        <w:top w:val="none" w:sz="0" w:space="0" w:color="auto"/>
        <w:left w:val="none" w:sz="0" w:space="0" w:color="auto"/>
        <w:bottom w:val="none" w:sz="0" w:space="0" w:color="auto"/>
        <w:right w:val="none" w:sz="0" w:space="0" w:color="auto"/>
      </w:divBdr>
    </w:div>
    <w:div w:id="20102087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4717429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CAP-STSC" TargetMode="Externa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online.com/catalog/en/ABC_OF_CAPACITORS_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catalog/en/WCAP-STS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catalog/media/o671684v410%20ANP090a_EN.pdf" TargetMode="External"/><Relationship Id="rId4" Type="http://schemas.openxmlformats.org/officeDocument/2006/relationships/settings" Target="settings.xml"/><Relationship Id="rId9" Type="http://schemas.openxmlformats.org/officeDocument/2006/relationships/hyperlink" Target="https://www.we-online.com/catalog/media/o671684v410%20ANP090a_EN.pdf"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05C7-41BE-4BA7-B3EE-F39BA783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4722</Characters>
  <Application>Microsoft Office Word</Application>
  <DocSecurity>0</DocSecurity>
  <Lines>121</Lines>
  <Paragraphs>37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5378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10</cp:revision>
  <cp:lastPrinted>2017-06-23T08:32:00Z</cp:lastPrinted>
  <dcterms:created xsi:type="dcterms:W3CDTF">2022-02-03T08:51:00Z</dcterms:created>
  <dcterms:modified xsi:type="dcterms:W3CDTF">2022-02-03T11:57:00Z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