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87068" w14:textId="77777777" w:rsidR="00C611EB" w:rsidRDefault="00490EA6">
      <w:pPr>
        <w:pStyle w:val="berschrift1"/>
        <w:spacing w:before="720" w:after="720" w:line="260" w:lineRule="exact"/>
        <w:rPr>
          <w:sz w:val="20"/>
          <w:lang w:bidi="it-IT"/>
        </w:rPr>
      </w:pPr>
      <w:r>
        <w:rPr>
          <w:sz w:val="20"/>
          <w:lang w:bidi="it-IT"/>
        </w:rPr>
        <w:t>MEDIENINFORMATION</w:t>
      </w:r>
    </w:p>
    <w:p w14:paraId="4CFD36EC" w14:textId="77777777" w:rsidR="00C611EB" w:rsidRDefault="00490EA6">
      <w:pPr>
        <w:rPr>
          <w:rFonts w:ascii="Arial" w:hAnsi="Arial" w:cs="Arial"/>
          <w:b/>
          <w:bCs/>
        </w:rPr>
      </w:pPr>
      <w:r>
        <w:rPr>
          <w:rFonts w:ascii="Arial" w:hAnsi="Arial" w:cs="Arial"/>
          <w:b/>
          <w:bCs/>
        </w:rPr>
        <w:t xml:space="preserve">Würth Elektronik baut Produktbereich Wärmemanagement massiv aus </w:t>
      </w:r>
    </w:p>
    <w:p w14:paraId="2930E037" w14:textId="77777777" w:rsidR="00C611EB" w:rsidRDefault="00490EA6">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Wärme leiten und verteilen</w:t>
      </w:r>
    </w:p>
    <w:p w14:paraId="531667B6" w14:textId="60EB7663" w:rsidR="00C611EB" w:rsidRDefault="00490EA6">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D73332">
        <w:rPr>
          <w:rFonts w:ascii="Arial" w:hAnsi="Arial"/>
          <w:color w:val="000000"/>
        </w:rPr>
        <w:t>24. November</w:t>
      </w:r>
      <w:r>
        <w:rPr>
          <w:rFonts w:ascii="Arial" w:hAnsi="Arial"/>
          <w:color w:val="000000"/>
        </w:rPr>
        <w:t xml:space="preserve"> 2021 – Würth Elektronik etabliert sich mehr und mehr als </w:t>
      </w:r>
      <w:proofErr w:type="spellStart"/>
      <w:r>
        <w:rPr>
          <w:rFonts w:ascii="Arial" w:hAnsi="Arial"/>
          <w:color w:val="000000"/>
        </w:rPr>
        <w:t>One</w:t>
      </w:r>
      <w:proofErr w:type="spellEnd"/>
      <w:r>
        <w:rPr>
          <w:rFonts w:ascii="Arial" w:hAnsi="Arial"/>
          <w:color w:val="000000"/>
        </w:rPr>
        <w:t>-</w:t>
      </w:r>
      <w:proofErr w:type="spellStart"/>
      <w:r>
        <w:rPr>
          <w:rFonts w:ascii="Arial" w:hAnsi="Arial"/>
          <w:color w:val="000000"/>
        </w:rPr>
        <w:t>Stop</w:t>
      </w:r>
      <w:proofErr w:type="spellEnd"/>
      <w:r>
        <w:rPr>
          <w:rFonts w:ascii="Arial" w:hAnsi="Arial"/>
          <w:color w:val="000000"/>
        </w:rPr>
        <w:t xml:space="preserve">-Shop für </w:t>
      </w:r>
      <w:bookmarkStart w:id="0" w:name="_Hlk72238934"/>
      <w:r>
        <w:rPr>
          <w:rFonts w:ascii="Arial" w:hAnsi="Arial"/>
          <w:color w:val="000000"/>
        </w:rPr>
        <w:t xml:space="preserve">thermische Interfacematerialien </w:t>
      </w:r>
      <w:bookmarkEnd w:id="0"/>
      <w:r>
        <w:rPr>
          <w:rFonts w:ascii="Arial" w:hAnsi="Arial"/>
          <w:color w:val="000000"/>
        </w:rPr>
        <w:t>(TIM). Aktuelle Belege dafür sind Serienerweiterungen und fünf komplett neue Produktgruppen, die Elektronikentwicklern jetzt eine noch größere Auswahl an Lösungen zur wärmeleitenden Überbrückung zwischen Bauteilen und Kühlkörpern bieten. Dazu gehören auch Materialien zur Verteilung von Abwärme auf größeren Oberflächen. Würth Elektronik bietet für alle Lösungen Zusatzservices wie verschiedene Formen der Konfektionierung und kundenspezifische Lieferungen ohne Mindestbestellmenge.</w:t>
      </w:r>
    </w:p>
    <w:p w14:paraId="1D9580C5" w14:textId="77777777" w:rsidR="00C611EB" w:rsidRDefault="00490EA6">
      <w:pPr>
        <w:pStyle w:val="Textkrper"/>
        <w:spacing w:before="120" w:after="120" w:line="260" w:lineRule="exact"/>
        <w:jc w:val="both"/>
        <w:rPr>
          <w:rFonts w:ascii="Arial" w:hAnsi="Arial"/>
          <w:b w:val="0"/>
          <w:bCs w:val="0"/>
          <w:color w:val="000000"/>
        </w:rPr>
      </w:pPr>
      <w:r>
        <w:rPr>
          <w:rFonts w:ascii="Arial" w:hAnsi="Arial"/>
          <w:b w:val="0"/>
          <w:bCs w:val="0"/>
          <w:color w:val="000000"/>
        </w:rPr>
        <w:t>Je nach Höhe der Verlustleistungen und der Layout- und Baugruppensituation gibt es unterschiedlichste Möglichkeiten, Wärme abzuführen. Eine Standardherausforderung dabei: einen isolierenden Spalt zwischen dem heißen Bauteil und einem Kühlkörper oder einem als solchem fungierenden Gehäuse zu überbrücken oder zu vermeiden. Für diese Aufgabe hat Würth Elektronik jetzt neue Lösungen im Angebot.</w:t>
      </w:r>
    </w:p>
    <w:p w14:paraId="0B79BC45" w14:textId="77777777" w:rsidR="00C611EB" w:rsidRDefault="00490EA6">
      <w:pPr>
        <w:pStyle w:val="Textkrper"/>
        <w:spacing w:before="120" w:after="120" w:line="260" w:lineRule="exact"/>
        <w:jc w:val="both"/>
        <w:rPr>
          <w:rFonts w:ascii="Arial" w:hAnsi="Arial"/>
          <w:color w:val="000000"/>
        </w:rPr>
      </w:pPr>
      <w:r>
        <w:rPr>
          <w:rFonts w:ascii="Arial" w:hAnsi="Arial"/>
          <w:color w:val="000000"/>
        </w:rPr>
        <w:t>Den Spalt überbrücken</w:t>
      </w:r>
    </w:p>
    <w:bookmarkStart w:id="1" w:name="_Hlk77141053"/>
    <w:p w14:paraId="5838471B" w14:textId="67591E54" w:rsidR="00C611EB" w:rsidRPr="00811283" w:rsidRDefault="00490EA6">
      <w:pPr>
        <w:pStyle w:val="Textkrper"/>
        <w:spacing w:before="120" w:after="120" w:line="260" w:lineRule="exact"/>
        <w:jc w:val="both"/>
        <w:rPr>
          <w:rFonts w:ascii="Arial" w:hAnsi="Arial"/>
          <w:b w:val="0"/>
          <w:bCs w:val="0"/>
          <w:color w:val="000000"/>
        </w:rPr>
      </w:pPr>
      <w:r>
        <w:rPr>
          <w:rFonts w:ascii="Arial" w:hAnsi="Arial"/>
          <w:b w:val="0"/>
          <w:bCs w:val="0"/>
          <w:color w:val="000000"/>
        </w:rPr>
        <w:fldChar w:fldCharType="begin"/>
      </w:r>
      <w:r>
        <w:rPr>
          <w:rFonts w:ascii="Arial" w:hAnsi="Arial"/>
          <w:b w:val="0"/>
          <w:bCs w:val="0"/>
          <w:color w:val="000000"/>
        </w:rPr>
        <w:instrText xml:space="preserve"> HYPERLINK "https://www.we-online.de/katalog/de/THERMAL_WE-TTT?sq=WE-TTT" </w:instrText>
      </w:r>
      <w:r>
        <w:rPr>
          <w:rFonts w:ascii="Arial" w:hAnsi="Arial"/>
          <w:b w:val="0"/>
          <w:bCs w:val="0"/>
          <w:color w:val="000000"/>
        </w:rPr>
        <w:fldChar w:fldCharType="separate"/>
      </w:r>
      <w:r>
        <w:rPr>
          <w:rStyle w:val="Hyperlink"/>
          <w:rFonts w:ascii="Arial" w:hAnsi="Arial"/>
          <w:b w:val="0"/>
          <w:bCs w:val="0"/>
        </w:rPr>
        <w:t>WE-TTT</w:t>
      </w:r>
      <w:r>
        <w:rPr>
          <w:rFonts w:ascii="Arial" w:hAnsi="Arial"/>
          <w:b w:val="0"/>
          <w:bCs w:val="0"/>
          <w:color w:val="000000"/>
        </w:rPr>
        <w:fldChar w:fldCharType="end"/>
      </w:r>
      <w:r>
        <w:rPr>
          <w:rFonts w:ascii="Arial" w:hAnsi="Arial"/>
          <w:b w:val="0"/>
          <w:bCs w:val="0"/>
          <w:color w:val="000000"/>
        </w:rPr>
        <w:t xml:space="preserve"> ist ein wärmeleitendes und elektrisch isolierendes doppelseitiges Klebeband, das bei Leistungshalbleitern, Grafikprozessoren, Chipsätzen oder Speichermodulen zum Einsatz kommt. Durch keramische Partikel im Klebstoff erreicht es eine Wärmeleitfähigkeit von 1 </w:t>
      </w:r>
      <w:bookmarkStart w:id="2" w:name="_Hlk77140647"/>
      <w:r>
        <w:rPr>
          <w:rFonts w:ascii="Arial" w:hAnsi="Arial"/>
          <w:b w:val="0"/>
          <w:bCs w:val="0"/>
          <w:color w:val="000000"/>
        </w:rPr>
        <w:t>W/(</w:t>
      </w:r>
      <w:proofErr w:type="spellStart"/>
      <w:r>
        <w:rPr>
          <w:rFonts w:ascii="Arial" w:hAnsi="Arial"/>
          <w:b w:val="0"/>
          <w:bCs w:val="0"/>
          <w:color w:val="000000"/>
        </w:rPr>
        <w:t>m</w:t>
      </w:r>
      <w:r>
        <w:rPr>
          <w:rFonts w:ascii="Cambria Math" w:hAnsi="Cambria Math" w:cs="Cambria Math"/>
          <w:b w:val="0"/>
          <w:bCs w:val="0"/>
          <w:color w:val="000000"/>
        </w:rPr>
        <w:t>⋅</w:t>
      </w:r>
      <w:r>
        <w:rPr>
          <w:rFonts w:ascii="Arial" w:hAnsi="Arial"/>
          <w:b w:val="0"/>
          <w:bCs w:val="0"/>
          <w:color w:val="000000"/>
        </w:rPr>
        <w:t>K</w:t>
      </w:r>
      <w:proofErr w:type="spellEnd"/>
      <w:r>
        <w:rPr>
          <w:rFonts w:ascii="Arial" w:hAnsi="Arial"/>
          <w:b w:val="0"/>
          <w:bCs w:val="0"/>
          <w:color w:val="000000"/>
        </w:rPr>
        <w:t>)</w:t>
      </w:r>
      <w:bookmarkEnd w:id="2"/>
      <w:r>
        <w:rPr>
          <w:rFonts w:ascii="Arial" w:hAnsi="Arial"/>
          <w:b w:val="0"/>
          <w:bCs w:val="0"/>
          <w:color w:val="000000"/>
        </w:rPr>
        <w:t xml:space="preserve">. </w:t>
      </w:r>
      <w:bookmarkEnd w:id="1"/>
      <w:r>
        <w:rPr>
          <w:rFonts w:ascii="Arial" w:hAnsi="Arial"/>
          <w:b w:val="0"/>
          <w:bCs w:val="0"/>
          <w:color w:val="000000"/>
        </w:rPr>
        <w:fldChar w:fldCharType="begin"/>
      </w:r>
      <w:r>
        <w:rPr>
          <w:rFonts w:ascii="Arial" w:hAnsi="Arial"/>
          <w:b w:val="0"/>
          <w:bCs w:val="0"/>
          <w:color w:val="000000"/>
        </w:rPr>
        <w:instrText xml:space="preserve"> HYPERLINK "https://www.we-online.de/katalog/de/THERMAL_WE-TINS?sq=WE-TINS" </w:instrText>
      </w:r>
      <w:r>
        <w:rPr>
          <w:rFonts w:ascii="Arial" w:hAnsi="Arial"/>
          <w:b w:val="0"/>
          <w:bCs w:val="0"/>
          <w:color w:val="000000"/>
        </w:rPr>
        <w:fldChar w:fldCharType="separate"/>
      </w:r>
      <w:r>
        <w:rPr>
          <w:rStyle w:val="Hyperlink"/>
          <w:rFonts w:ascii="Arial" w:hAnsi="Arial"/>
          <w:b w:val="0"/>
          <w:bCs w:val="0"/>
        </w:rPr>
        <w:t>WE-TINS</w:t>
      </w:r>
      <w:r>
        <w:rPr>
          <w:rFonts w:ascii="Arial" w:hAnsi="Arial"/>
          <w:b w:val="0"/>
          <w:bCs w:val="0"/>
          <w:color w:val="000000"/>
        </w:rPr>
        <w:fldChar w:fldCharType="end"/>
      </w:r>
      <w:r>
        <w:rPr>
          <w:rFonts w:ascii="Arial" w:hAnsi="Arial"/>
          <w:b w:val="0"/>
          <w:bCs w:val="0"/>
          <w:color w:val="000000"/>
        </w:rPr>
        <w:t xml:space="preserve"> (</w:t>
      </w:r>
      <w:proofErr w:type="spellStart"/>
      <w:r>
        <w:rPr>
          <w:rFonts w:ascii="Arial" w:hAnsi="Arial"/>
          <w:b w:val="0"/>
          <w:bCs w:val="0"/>
          <w:color w:val="000000"/>
          <w:u w:val="single"/>
        </w:rPr>
        <w:t>T</w:t>
      </w:r>
      <w:r>
        <w:rPr>
          <w:rFonts w:ascii="Arial" w:hAnsi="Arial"/>
          <w:b w:val="0"/>
          <w:bCs w:val="0"/>
          <w:color w:val="000000"/>
        </w:rPr>
        <w:t>hermally</w:t>
      </w:r>
      <w:proofErr w:type="spellEnd"/>
      <w:r>
        <w:rPr>
          <w:rFonts w:ascii="Arial" w:hAnsi="Arial"/>
          <w:b w:val="0"/>
          <w:bCs w:val="0"/>
          <w:color w:val="000000"/>
        </w:rPr>
        <w:t xml:space="preserve"> </w:t>
      </w:r>
      <w:proofErr w:type="spellStart"/>
      <w:r>
        <w:rPr>
          <w:rFonts w:ascii="Arial" w:hAnsi="Arial"/>
          <w:b w:val="0"/>
          <w:bCs w:val="0"/>
          <w:color w:val="000000"/>
        </w:rPr>
        <w:t>Conductive</w:t>
      </w:r>
      <w:proofErr w:type="spellEnd"/>
      <w:r>
        <w:rPr>
          <w:rFonts w:ascii="Arial" w:hAnsi="Arial"/>
          <w:b w:val="0"/>
          <w:bCs w:val="0"/>
          <w:color w:val="000000"/>
        </w:rPr>
        <w:t xml:space="preserve"> </w:t>
      </w:r>
      <w:proofErr w:type="spellStart"/>
      <w:r>
        <w:rPr>
          <w:rFonts w:ascii="Arial" w:hAnsi="Arial"/>
          <w:b w:val="0"/>
          <w:bCs w:val="0"/>
          <w:color w:val="000000"/>
          <w:u w:val="single"/>
        </w:rPr>
        <w:t>Ins</w:t>
      </w:r>
      <w:r>
        <w:rPr>
          <w:rFonts w:ascii="Arial" w:hAnsi="Arial"/>
          <w:b w:val="0"/>
          <w:bCs w:val="0"/>
          <w:color w:val="000000"/>
        </w:rPr>
        <w:t>ulator</w:t>
      </w:r>
      <w:proofErr w:type="spellEnd"/>
      <w:r>
        <w:rPr>
          <w:rFonts w:ascii="Arial" w:hAnsi="Arial"/>
          <w:b w:val="0"/>
          <w:bCs w:val="0"/>
          <w:color w:val="000000"/>
        </w:rPr>
        <w:t xml:space="preserve"> Pad) wurde entwickelt, um eine thermische Schnittstelle zwischen Transistoren und Kühlbaugruppen unter Beibehaltung der elektrischen Isolierung zu schaffen. Die Pads werden passend zugeschnitten geliefert und zeichnen sich durch </w:t>
      </w:r>
      <w:r w:rsidRPr="00811283">
        <w:rPr>
          <w:rFonts w:ascii="Arial" w:hAnsi="Arial"/>
          <w:b w:val="0"/>
          <w:bCs w:val="0"/>
          <w:color w:val="000000"/>
        </w:rPr>
        <w:t xml:space="preserve">eine hohe Reißfestigkeit aus. </w:t>
      </w:r>
    </w:p>
    <w:p w14:paraId="020CBED0" w14:textId="45D38753" w:rsidR="00C611EB" w:rsidRDefault="00B461E9">
      <w:pPr>
        <w:pStyle w:val="Textkrper"/>
        <w:spacing w:before="120" w:after="120" w:line="260" w:lineRule="exact"/>
        <w:jc w:val="both"/>
        <w:rPr>
          <w:rFonts w:ascii="Arial" w:hAnsi="Arial"/>
          <w:b w:val="0"/>
          <w:bCs w:val="0"/>
          <w:color w:val="000000"/>
        </w:rPr>
      </w:pPr>
      <w:hyperlink r:id="rId8" w:history="1">
        <w:r w:rsidR="00490EA6" w:rsidRPr="00811283">
          <w:rPr>
            <w:rStyle w:val="Hyperlink"/>
            <w:rFonts w:ascii="Arial" w:hAnsi="Arial"/>
            <w:b w:val="0"/>
            <w:bCs w:val="0"/>
          </w:rPr>
          <w:t>WE-PCM</w:t>
        </w:r>
      </w:hyperlink>
      <w:r w:rsidR="00490EA6" w:rsidRPr="00811283">
        <w:rPr>
          <w:rFonts w:ascii="Arial" w:hAnsi="Arial"/>
          <w:b w:val="0"/>
          <w:bCs w:val="0"/>
          <w:color w:val="000000"/>
        </w:rPr>
        <w:t xml:space="preserve"> (Phase </w:t>
      </w:r>
      <w:proofErr w:type="spellStart"/>
      <w:r w:rsidR="00490EA6" w:rsidRPr="00811283">
        <w:rPr>
          <w:rFonts w:ascii="Arial" w:hAnsi="Arial"/>
          <w:b w:val="0"/>
          <w:bCs w:val="0"/>
          <w:color w:val="000000"/>
        </w:rPr>
        <w:t>Changing</w:t>
      </w:r>
      <w:proofErr w:type="spellEnd"/>
      <w:r w:rsidR="00490EA6" w:rsidRPr="00811283">
        <w:rPr>
          <w:rFonts w:ascii="Arial" w:hAnsi="Arial"/>
          <w:b w:val="0"/>
          <w:bCs w:val="0"/>
          <w:color w:val="000000"/>
        </w:rPr>
        <w:t xml:space="preserve"> Material) ist eine anwendungsfreundliche Alternative für Wärmeleitpaste. Die Folie verflüssigt sich unter Hitze für den perfekten Ausgleich </w:t>
      </w:r>
      <w:r w:rsidR="00917551">
        <w:rPr>
          <w:rFonts w:ascii="Arial" w:hAnsi="Arial"/>
          <w:b w:val="0"/>
          <w:bCs w:val="0"/>
          <w:color w:val="000000"/>
        </w:rPr>
        <w:t>von</w:t>
      </w:r>
      <w:r w:rsidR="00490EA6" w:rsidRPr="00811283">
        <w:rPr>
          <w:rFonts w:ascii="Arial" w:hAnsi="Arial"/>
          <w:b w:val="0"/>
          <w:bCs w:val="0"/>
          <w:color w:val="000000"/>
        </w:rPr>
        <w:t xml:space="preserve"> Unebenheiten auf Kontaktflächen, die sonst einen isolierenden Spalt verursachen würden. Wenn</w:t>
      </w:r>
      <w:r w:rsidR="00490EA6">
        <w:rPr>
          <w:rFonts w:ascii="Arial" w:hAnsi="Arial"/>
          <w:b w:val="0"/>
          <w:bCs w:val="0"/>
          <w:color w:val="000000"/>
        </w:rPr>
        <w:t xml:space="preserve"> es um größere Spalten geht, hat sich </w:t>
      </w:r>
      <w:hyperlink r:id="rId9" w:history="1">
        <w:r w:rsidR="00490EA6">
          <w:rPr>
            <w:rStyle w:val="Hyperlink"/>
            <w:rFonts w:ascii="Arial" w:hAnsi="Arial"/>
            <w:b w:val="0"/>
            <w:bCs w:val="0"/>
          </w:rPr>
          <w:t>WE-TGF</w:t>
        </w:r>
      </w:hyperlink>
      <w:r w:rsidR="00490EA6">
        <w:rPr>
          <w:rFonts w:ascii="Arial" w:hAnsi="Arial"/>
          <w:b w:val="0"/>
          <w:bCs w:val="0"/>
          <w:color w:val="000000"/>
        </w:rPr>
        <w:t xml:space="preserve"> bewährt. Würth Elektronik hat weitere Versionen dieser keramikhaltigen Silikonpolster eingeführt und kann damit bis zu 10 W/(</w:t>
      </w:r>
      <w:proofErr w:type="spellStart"/>
      <w:r w:rsidR="00490EA6">
        <w:rPr>
          <w:rFonts w:ascii="Arial" w:hAnsi="Arial"/>
          <w:b w:val="0"/>
          <w:bCs w:val="0"/>
          <w:color w:val="000000"/>
        </w:rPr>
        <w:t>m</w:t>
      </w:r>
      <w:r w:rsidR="00490EA6">
        <w:rPr>
          <w:rFonts w:ascii="Cambria Math" w:hAnsi="Cambria Math" w:cs="Cambria Math"/>
          <w:b w:val="0"/>
          <w:bCs w:val="0"/>
          <w:color w:val="000000"/>
        </w:rPr>
        <w:t>⋅</w:t>
      </w:r>
      <w:r w:rsidR="00490EA6">
        <w:rPr>
          <w:rFonts w:ascii="Arial" w:hAnsi="Arial"/>
          <w:b w:val="0"/>
          <w:bCs w:val="0"/>
          <w:color w:val="000000"/>
        </w:rPr>
        <w:t>K</w:t>
      </w:r>
      <w:proofErr w:type="spellEnd"/>
      <w:r w:rsidR="00490EA6">
        <w:rPr>
          <w:rFonts w:ascii="Arial" w:hAnsi="Arial"/>
          <w:b w:val="0"/>
          <w:bCs w:val="0"/>
          <w:color w:val="000000"/>
        </w:rPr>
        <w:t>) erreichen.</w:t>
      </w:r>
    </w:p>
    <w:p w14:paraId="3E00E989" w14:textId="77777777" w:rsidR="00C611EB" w:rsidRDefault="00490EA6">
      <w:pPr>
        <w:pStyle w:val="Textkrper"/>
        <w:spacing w:before="120" w:after="120" w:line="260" w:lineRule="exact"/>
        <w:jc w:val="both"/>
        <w:rPr>
          <w:rFonts w:ascii="Arial" w:hAnsi="Arial"/>
          <w:color w:val="000000"/>
        </w:rPr>
      </w:pPr>
      <w:r>
        <w:rPr>
          <w:rFonts w:ascii="Arial" w:hAnsi="Arial"/>
          <w:color w:val="000000"/>
        </w:rPr>
        <w:t>Oberfläche vergrößern</w:t>
      </w:r>
    </w:p>
    <w:p w14:paraId="440BFA8C" w14:textId="77777777" w:rsidR="00C611EB" w:rsidRDefault="00490EA6">
      <w:pPr>
        <w:pStyle w:val="Textkrper"/>
        <w:spacing w:before="120" w:after="120" w:line="260" w:lineRule="exact"/>
        <w:jc w:val="both"/>
        <w:rPr>
          <w:rFonts w:ascii="Arial" w:hAnsi="Arial"/>
          <w:b w:val="0"/>
          <w:bCs w:val="0"/>
        </w:rPr>
      </w:pPr>
      <w:r>
        <w:rPr>
          <w:rFonts w:ascii="Arial" w:hAnsi="Arial"/>
          <w:b w:val="0"/>
          <w:bCs w:val="0"/>
          <w:color w:val="000000"/>
        </w:rPr>
        <w:t>Spitzenleistungen in der Wärmeleitfähigkeit von bis 1800 W/(</w:t>
      </w:r>
      <w:proofErr w:type="spellStart"/>
      <w:r>
        <w:rPr>
          <w:rFonts w:ascii="Arial" w:hAnsi="Arial"/>
          <w:b w:val="0"/>
          <w:bCs w:val="0"/>
          <w:color w:val="000000"/>
        </w:rPr>
        <w:t>m</w:t>
      </w:r>
      <w:r>
        <w:rPr>
          <w:rFonts w:ascii="Cambria Math" w:hAnsi="Cambria Math" w:cs="Cambria Math"/>
          <w:b w:val="0"/>
          <w:bCs w:val="0"/>
          <w:color w:val="000000"/>
        </w:rPr>
        <w:t>⋅</w:t>
      </w:r>
      <w:r>
        <w:rPr>
          <w:rFonts w:ascii="Arial" w:hAnsi="Arial"/>
          <w:b w:val="0"/>
          <w:bCs w:val="0"/>
          <w:color w:val="000000"/>
        </w:rPr>
        <w:t>K</w:t>
      </w:r>
      <w:proofErr w:type="spellEnd"/>
      <w:r>
        <w:rPr>
          <w:rFonts w:ascii="Arial" w:hAnsi="Arial"/>
          <w:b w:val="0"/>
          <w:bCs w:val="0"/>
          <w:color w:val="000000"/>
        </w:rPr>
        <w:t xml:space="preserve">) in der horizontalen Achse leistet die Grafitfolie </w:t>
      </w:r>
      <w:hyperlink r:id="rId10" w:history="1">
        <w:r>
          <w:rPr>
            <w:rStyle w:val="Hyperlink"/>
            <w:rFonts w:ascii="Arial" w:hAnsi="Arial"/>
            <w:b w:val="0"/>
            <w:bCs w:val="0"/>
          </w:rPr>
          <w:t>WE-TGS</w:t>
        </w:r>
      </w:hyperlink>
      <w:r>
        <w:rPr>
          <w:rFonts w:ascii="Arial" w:hAnsi="Arial"/>
          <w:b w:val="0"/>
          <w:bCs w:val="0"/>
          <w:color w:val="000000"/>
        </w:rPr>
        <w:t xml:space="preserve">. Eine besondere Anwendung stellen die </w:t>
      </w:r>
      <w:hyperlink r:id="rId11" w:history="1">
        <w:r>
          <w:rPr>
            <w:rStyle w:val="Hyperlink"/>
            <w:rFonts w:ascii="Arial" w:hAnsi="Arial"/>
            <w:b w:val="0"/>
            <w:bCs w:val="0"/>
          </w:rPr>
          <w:t>WE-TGFG</w:t>
        </w:r>
      </w:hyperlink>
      <w:r>
        <w:rPr>
          <w:rFonts w:ascii="Arial" w:hAnsi="Arial"/>
          <w:b w:val="0"/>
          <w:bCs w:val="0"/>
          <w:color w:val="000000"/>
        </w:rPr>
        <w:t xml:space="preserve"> dar, in Grafitfolie eingeschlagene Schaumstoffpolster, die </w:t>
      </w:r>
      <w:r>
        <w:rPr>
          <w:rFonts w:ascii="Arial" w:hAnsi="Arial"/>
          <w:b w:val="0"/>
          <w:bCs w:val="0"/>
          <w:color w:val="000000"/>
        </w:rPr>
        <w:lastRenderedPageBreak/>
        <w:t>dort als Wärmeleitpolster dienen können, wo Silikonpolster nicht geeignet sind oder formstabile, individuelle Formen benötigt werden. Der Clou: Mit WE-TGFG-Körpern kann Wärme auch seitlich weggeführt werden – eine Aufgabe, für die man sonst zum Beispiel Kupfer-</w:t>
      </w:r>
      <w:proofErr w:type="spellStart"/>
      <w:r>
        <w:rPr>
          <w:rFonts w:ascii="Arial" w:hAnsi="Arial"/>
          <w:b w:val="0"/>
          <w:bCs w:val="0"/>
          <w:color w:val="000000"/>
        </w:rPr>
        <w:t>Heatpipes</w:t>
      </w:r>
      <w:proofErr w:type="spellEnd"/>
      <w:r>
        <w:rPr>
          <w:rFonts w:ascii="Arial" w:hAnsi="Arial"/>
          <w:b w:val="0"/>
          <w:bCs w:val="0"/>
          <w:color w:val="000000"/>
        </w:rPr>
        <w:t xml:space="preserve"> benötigt.</w:t>
      </w:r>
    </w:p>
    <w:p w14:paraId="1A97AC2C" w14:textId="77777777" w:rsidR="00C611EB" w:rsidRDefault="00490EA6">
      <w:pPr>
        <w:pStyle w:val="Textkrper"/>
        <w:spacing w:before="120" w:after="120" w:line="260" w:lineRule="exact"/>
        <w:jc w:val="both"/>
        <w:rPr>
          <w:rFonts w:ascii="Arial" w:hAnsi="Arial"/>
          <w:b w:val="0"/>
          <w:bCs w:val="0"/>
        </w:rPr>
      </w:pPr>
      <w:r>
        <w:rPr>
          <w:rFonts w:ascii="Arial" w:hAnsi="Arial"/>
          <w:b w:val="0"/>
          <w:bCs w:val="0"/>
        </w:rPr>
        <w:t xml:space="preserve">„Man kann ähnliche Produkte einzeln bei anderen Anbietern finden, aber bei Würth Elektronik gibt es die ganze Bandbreite bester thermischer Interfacematerialien – und das entwicklerfreundlich kombiniert mit dem bekannten Würth Elektronik Service: individuelle Beratung, Support und Konfektionierung“, sagt Sebastián Mirasol-Menacho, Produkt Manager EMC </w:t>
      </w:r>
      <w:proofErr w:type="spellStart"/>
      <w:r>
        <w:rPr>
          <w:rFonts w:ascii="Arial" w:hAnsi="Arial"/>
          <w:b w:val="0"/>
          <w:bCs w:val="0"/>
        </w:rPr>
        <w:t>Shielding</w:t>
      </w:r>
      <w:proofErr w:type="spellEnd"/>
      <w:r>
        <w:rPr>
          <w:rFonts w:ascii="Arial" w:hAnsi="Arial"/>
          <w:b w:val="0"/>
          <w:bCs w:val="0"/>
        </w:rPr>
        <w:t xml:space="preserve"> &amp; Thermal Materials bei Würth Elektronik eiSos.</w:t>
      </w:r>
    </w:p>
    <w:p w14:paraId="47B4C942" w14:textId="0F8AE150" w:rsidR="00C611EB" w:rsidRDefault="00C611EB">
      <w:pPr>
        <w:pStyle w:val="Textkrper"/>
        <w:spacing w:before="120" w:after="120" w:line="260" w:lineRule="exact"/>
        <w:jc w:val="both"/>
        <w:rPr>
          <w:rFonts w:ascii="Arial" w:hAnsi="Arial"/>
          <w:b w:val="0"/>
          <w:bCs w:val="0"/>
        </w:rPr>
      </w:pPr>
    </w:p>
    <w:p w14:paraId="5DF28045" w14:textId="77777777" w:rsidR="004F4A57" w:rsidRDefault="004F4A57">
      <w:pPr>
        <w:pStyle w:val="Textkrper"/>
        <w:spacing w:before="120" w:after="120" w:line="260" w:lineRule="exact"/>
        <w:jc w:val="both"/>
        <w:rPr>
          <w:rFonts w:ascii="Arial" w:hAnsi="Arial"/>
          <w:b w:val="0"/>
          <w:bCs w:val="0"/>
        </w:rPr>
      </w:pPr>
    </w:p>
    <w:p w14:paraId="7D99C86F" w14:textId="77777777" w:rsidR="00C611EB" w:rsidRDefault="00C611EB">
      <w:pPr>
        <w:pStyle w:val="PITextkrper"/>
        <w:pBdr>
          <w:top w:val="single" w:sz="4" w:space="1" w:color="auto"/>
        </w:pBdr>
        <w:spacing w:before="240"/>
        <w:rPr>
          <w:b/>
          <w:sz w:val="18"/>
          <w:szCs w:val="18"/>
          <w:lang w:val="de-DE"/>
        </w:rPr>
      </w:pPr>
    </w:p>
    <w:p w14:paraId="0FAB33E7" w14:textId="77777777" w:rsidR="00C611EB" w:rsidRDefault="00490EA6">
      <w:pPr>
        <w:spacing w:after="120" w:line="280" w:lineRule="exact"/>
        <w:rPr>
          <w:rFonts w:ascii="Arial" w:hAnsi="Arial" w:cs="Arial"/>
          <w:b/>
          <w:bCs/>
          <w:sz w:val="18"/>
          <w:szCs w:val="18"/>
        </w:rPr>
      </w:pPr>
      <w:r>
        <w:rPr>
          <w:rFonts w:ascii="Arial" w:hAnsi="Arial" w:cs="Arial"/>
          <w:b/>
          <w:bCs/>
          <w:sz w:val="18"/>
          <w:szCs w:val="18"/>
        </w:rPr>
        <w:t>Verfügbares Bildmaterial</w:t>
      </w:r>
    </w:p>
    <w:p w14:paraId="681FEFD2" w14:textId="77777777" w:rsidR="004D7AE1" w:rsidRPr="00FB7981" w:rsidRDefault="00490EA6" w:rsidP="004D7AE1">
      <w:pPr>
        <w:spacing w:after="120" w:line="280" w:lineRule="exact"/>
      </w:pPr>
      <w:r>
        <w:rPr>
          <w:rFonts w:ascii="Arial" w:hAnsi="Arial" w:cs="Arial"/>
          <w:bCs/>
          <w:sz w:val="18"/>
          <w:szCs w:val="18"/>
        </w:rPr>
        <w:t>Folgendes Bildmaterial steht druckfähig im Internet zum Download bereit:</w:t>
      </w:r>
      <w:r>
        <w:t xml:space="preserve"> </w:t>
      </w:r>
      <w:hyperlink r:id="rId12" w:history="1">
        <w:r w:rsidR="004D7AE1">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443"/>
      </w:tblGrid>
      <w:tr w:rsidR="00C611EB" w14:paraId="7C208ED0" w14:textId="77777777" w:rsidTr="004D7AE1">
        <w:trPr>
          <w:trHeight w:val="1701"/>
        </w:trPr>
        <w:tc>
          <w:tcPr>
            <w:tcW w:w="3577" w:type="dxa"/>
          </w:tcPr>
          <w:p w14:paraId="4243F4E4" w14:textId="5EC55B6A" w:rsidR="00C611EB" w:rsidRDefault="00490EA6">
            <w:pPr>
              <w:pStyle w:val="txt"/>
              <w:rPr>
                <w:b/>
                <w:bCs/>
                <w:sz w:val="18"/>
              </w:rPr>
            </w:pPr>
            <w:r>
              <w:rPr>
                <w:b/>
              </w:rPr>
              <w:br/>
            </w:r>
            <w:r w:rsidR="004D7AE1">
              <w:rPr>
                <w:noProof/>
                <w:lang w:val="en-GB" w:eastAsia="en-GB"/>
              </w:rPr>
              <w:drawing>
                <wp:inline distT="0" distB="0" distL="0" distR="0" wp14:anchorId="5450D576" wp14:editId="3C19F58C">
                  <wp:extent cx="2095500" cy="1115695"/>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5257"/>
                          <a:stretch/>
                        </pic:blipFill>
                        <pic:spPr bwMode="auto">
                          <a:xfrm>
                            <a:off x="0" y="0"/>
                            <a:ext cx="2096073" cy="111600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br/>
              <w:t xml:space="preserve">Bildquelle: Würth Elektronik </w:t>
            </w:r>
          </w:p>
          <w:p w14:paraId="4416B6AE" w14:textId="6EA1D7D0" w:rsidR="00C611EB" w:rsidRDefault="00490EA6">
            <w:pPr>
              <w:autoSpaceDE w:val="0"/>
              <w:autoSpaceDN w:val="0"/>
              <w:adjustRightInd w:val="0"/>
              <w:rPr>
                <w:rFonts w:ascii="Arial" w:hAnsi="Arial" w:cs="Arial"/>
                <w:b/>
                <w:sz w:val="18"/>
                <w:szCs w:val="18"/>
              </w:rPr>
            </w:pPr>
            <w:r w:rsidRPr="00CD0418">
              <w:rPr>
                <w:rFonts w:ascii="Arial" w:hAnsi="Arial" w:cs="Arial"/>
                <w:b/>
                <w:sz w:val="18"/>
                <w:szCs w:val="18"/>
              </w:rPr>
              <w:t xml:space="preserve">Eine Anwendung von WE-TGFG: </w:t>
            </w:r>
            <w:r w:rsidR="005146EE">
              <w:rPr>
                <w:rFonts w:ascii="Arial" w:hAnsi="Arial" w:cs="Arial"/>
                <w:b/>
                <w:sz w:val="18"/>
                <w:szCs w:val="18"/>
              </w:rPr>
              <w:t>D</w:t>
            </w:r>
            <w:r w:rsidRPr="00CD0418">
              <w:rPr>
                <w:rFonts w:ascii="Arial" w:hAnsi="Arial" w:cs="Arial"/>
                <w:b/>
                <w:sz w:val="18"/>
                <w:szCs w:val="18"/>
              </w:rPr>
              <w:t>ie Verlustleistung des IC-Bauteiles wird mittels der Grafitschicht seitlich zu einem Kühlkörper geleitet</w:t>
            </w:r>
            <w:r w:rsidR="007626E9">
              <w:rPr>
                <w:rFonts w:ascii="Arial" w:hAnsi="Arial" w:cs="Arial"/>
                <w:b/>
                <w:sz w:val="18"/>
                <w:szCs w:val="18"/>
              </w:rPr>
              <w:t>.</w:t>
            </w:r>
          </w:p>
          <w:p w14:paraId="366B019C" w14:textId="77777777" w:rsidR="00C611EB" w:rsidRDefault="00C611EB">
            <w:pPr>
              <w:autoSpaceDE w:val="0"/>
              <w:autoSpaceDN w:val="0"/>
              <w:adjustRightInd w:val="0"/>
              <w:rPr>
                <w:rFonts w:ascii="Arial" w:hAnsi="Arial" w:cs="Arial"/>
                <w:b/>
                <w:bCs/>
                <w:sz w:val="18"/>
                <w:szCs w:val="18"/>
              </w:rPr>
            </w:pPr>
          </w:p>
        </w:tc>
        <w:tc>
          <w:tcPr>
            <w:tcW w:w="3443" w:type="dxa"/>
          </w:tcPr>
          <w:p w14:paraId="422993B1" w14:textId="559C517E" w:rsidR="00C611EB" w:rsidRDefault="00490EA6" w:rsidP="004D7AE1">
            <w:pPr>
              <w:pStyle w:val="txt"/>
              <w:jc w:val="center"/>
              <w:rPr>
                <w:bCs/>
                <w:sz w:val="16"/>
                <w:szCs w:val="16"/>
              </w:rPr>
            </w:pPr>
            <w:r>
              <w:rPr>
                <w:bCs/>
                <w:sz w:val="16"/>
                <w:szCs w:val="16"/>
              </w:rPr>
              <w:br/>
            </w:r>
            <w:r w:rsidR="004D7AE1">
              <w:rPr>
                <w:bCs/>
                <w:noProof/>
                <w:sz w:val="16"/>
                <w:szCs w:val="16"/>
                <w:lang w:val="en-GB" w:eastAsia="en-GB"/>
              </w:rPr>
              <w:drawing>
                <wp:inline distT="0" distB="0" distL="0" distR="0" wp14:anchorId="09D861EC" wp14:editId="4D315F85">
                  <wp:extent cx="1400175" cy="1047750"/>
                  <wp:effectExtent l="0" t="0" r="9525" b="0"/>
                  <wp:docPr id="18" name="Grafik 9" descr="WE-TGF"/>
                  <wp:cNvGraphicFramePr/>
                  <a:graphic xmlns:a="http://schemas.openxmlformats.org/drawingml/2006/main">
                    <a:graphicData uri="http://schemas.openxmlformats.org/drawingml/2006/picture">
                      <pic:pic xmlns:pic="http://schemas.openxmlformats.org/drawingml/2006/picture">
                        <pic:nvPicPr>
                          <pic:cNvPr id="10" name="Grafik 9" descr="WE-TGF"/>
                          <pic:cNvPicPr/>
                        </pic:nvPicPr>
                        <pic:blipFill>
                          <a:blip r:embed="rId14" cstate="print">
                            <a:extLst>
                              <a:ext uri="{28A0092B-C50C-407E-A947-70E740481C1C}">
                                <a14:useLocalDpi xmlns:a14="http://schemas.microsoft.com/office/drawing/2010/main" val="0"/>
                              </a:ext>
                            </a:extLst>
                          </a:blip>
                          <a:srcRect l="14850" t="26865" r="14455" b="22705"/>
                          <a:stretch>
                            <a:fillRect/>
                          </a:stretch>
                        </pic:blipFill>
                        <pic:spPr bwMode="auto">
                          <a:xfrm>
                            <a:off x="0" y="0"/>
                            <a:ext cx="1400175" cy="1047750"/>
                          </a:xfrm>
                          <a:prstGeom prst="rect">
                            <a:avLst/>
                          </a:prstGeom>
                          <a:noFill/>
                          <a:ln>
                            <a:noFill/>
                          </a:ln>
                        </pic:spPr>
                      </pic:pic>
                    </a:graphicData>
                  </a:graphic>
                </wp:inline>
              </w:drawing>
            </w:r>
          </w:p>
          <w:p w14:paraId="5013B4DB" w14:textId="77777777" w:rsidR="00C611EB" w:rsidRDefault="00490EA6">
            <w:pPr>
              <w:pStyle w:val="txt"/>
              <w:rPr>
                <w:b/>
                <w:bCs/>
                <w:sz w:val="18"/>
              </w:rPr>
            </w:pPr>
            <w:r>
              <w:rPr>
                <w:bCs/>
                <w:sz w:val="16"/>
                <w:szCs w:val="16"/>
              </w:rPr>
              <w:t xml:space="preserve">Bildquelle: Würth Elektronik </w:t>
            </w:r>
          </w:p>
          <w:p w14:paraId="1F0E214F" w14:textId="32962AB7" w:rsidR="00C611EB" w:rsidRDefault="00490EA6">
            <w:pPr>
              <w:autoSpaceDE w:val="0"/>
              <w:autoSpaceDN w:val="0"/>
              <w:adjustRightInd w:val="0"/>
              <w:rPr>
                <w:b/>
                <w:bCs/>
              </w:rPr>
            </w:pPr>
            <w:r w:rsidRPr="00CD0418">
              <w:rPr>
                <w:rFonts w:ascii="Arial" w:hAnsi="Arial" w:cs="Arial"/>
                <w:b/>
                <w:sz w:val="18"/>
                <w:szCs w:val="18"/>
              </w:rPr>
              <w:t xml:space="preserve">Mit den WE-TGF Silikonpolstern werden Spalten geschlossen und ein </w:t>
            </w:r>
            <w:r w:rsidR="003A3406">
              <w:rPr>
                <w:rFonts w:ascii="Arial" w:hAnsi="Arial" w:cs="Arial"/>
                <w:b/>
                <w:sz w:val="18"/>
                <w:szCs w:val="18"/>
              </w:rPr>
              <w:t>A</w:t>
            </w:r>
            <w:r w:rsidRPr="00CD0418">
              <w:rPr>
                <w:rFonts w:ascii="Arial" w:hAnsi="Arial" w:cs="Arial"/>
                <w:b/>
                <w:sz w:val="18"/>
                <w:szCs w:val="18"/>
              </w:rPr>
              <w:t>bfließen von Hitze ermöglicht.</w:t>
            </w:r>
            <w:r>
              <w:rPr>
                <w:rFonts w:ascii="Arial" w:hAnsi="Arial" w:cs="Arial"/>
                <w:b/>
                <w:sz w:val="18"/>
                <w:szCs w:val="18"/>
              </w:rPr>
              <w:br/>
            </w:r>
          </w:p>
        </w:tc>
      </w:tr>
    </w:tbl>
    <w:p w14:paraId="0813CDD5" w14:textId="77777777" w:rsidR="00C611EB" w:rsidRDefault="00C611EB">
      <w:pPr>
        <w:pStyle w:val="PITextkrper"/>
        <w:rPr>
          <w:b/>
          <w:bCs/>
          <w:sz w:val="18"/>
          <w:szCs w:val="18"/>
          <w:lang w:val="de-DE"/>
        </w:rPr>
      </w:pPr>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08415C" w14:paraId="69D7BFC5" w14:textId="77777777" w:rsidTr="004D7AE1">
        <w:trPr>
          <w:trHeight w:val="1701"/>
        </w:trPr>
        <w:tc>
          <w:tcPr>
            <w:tcW w:w="3577" w:type="dxa"/>
          </w:tcPr>
          <w:p w14:paraId="62E8FA46" w14:textId="77777777" w:rsidR="0008415C" w:rsidRDefault="0008415C">
            <w:pPr>
              <w:pStyle w:val="txt"/>
              <w:rPr>
                <w:bCs/>
                <w:noProof/>
                <w:sz w:val="16"/>
                <w:szCs w:val="16"/>
                <w:lang w:eastAsia="en-GB"/>
              </w:rPr>
            </w:pPr>
          </w:p>
          <w:p w14:paraId="1B83B083" w14:textId="663AFB3B" w:rsidR="0008415C" w:rsidRDefault="0008415C">
            <w:pPr>
              <w:pStyle w:val="txt"/>
              <w:rPr>
                <w:b/>
                <w:bCs/>
                <w:sz w:val="18"/>
              </w:rPr>
            </w:pPr>
            <w:r>
              <w:rPr>
                <w:noProof/>
              </w:rPr>
              <w:drawing>
                <wp:inline distT="0" distB="0" distL="0" distR="0" wp14:anchorId="3FB23EFF" wp14:editId="545E22A0">
                  <wp:extent cx="1917065" cy="108966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7065" cy="1089660"/>
                          </a:xfrm>
                          <a:prstGeom prst="rect">
                            <a:avLst/>
                          </a:prstGeom>
                          <a:noFill/>
                          <a:ln>
                            <a:noFill/>
                          </a:ln>
                        </pic:spPr>
                      </pic:pic>
                    </a:graphicData>
                  </a:graphic>
                </wp:inline>
              </w:drawing>
            </w:r>
            <w:r>
              <w:rPr>
                <w:bCs/>
                <w:sz w:val="16"/>
                <w:szCs w:val="16"/>
              </w:rPr>
              <w:br/>
            </w:r>
            <w:r>
              <w:rPr>
                <w:bCs/>
                <w:sz w:val="16"/>
                <w:szCs w:val="16"/>
              </w:rPr>
              <w:br/>
              <w:t xml:space="preserve">Bildquelle: Würth Elektronik </w:t>
            </w:r>
          </w:p>
          <w:p w14:paraId="3529536F" w14:textId="77777777" w:rsidR="0008415C" w:rsidRDefault="0008415C">
            <w:pPr>
              <w:autoSpaceDE w:val="0"/>
              <w:autoSpaceDN w:val="0"/>
              <w:adjustRightInd w:val="0"/>
              <w:rPr>
                <w:rFonts w:ascii="Arial" w:hAnsi="Arial" w:cs="Arial"/>
                <w:b/>
                <w:sz w:val="18"/>
                <w:szCs w:val="18"/>
              </w:rPr>
            </w:pPr>
            <w:r>
              <w:rPr>
                <w:rFonts w:ascii="Arial" w:hAnsi="Arial" w:cs="Arial"/>
                <w:b/>
                <w:sz w:val="18"/>
                <w:szCs w:val="18"/>
              </w:rPr>
              <w:t>Mit WE-TGFG können auch individuelle wärmeleitende Körper realisiert werden.</w:t>
            </w:r>
          </w:p>
          <w:p w14:paraId="26176057" w14:textId="65EC4BEB" w:rsidR="0008415C" w:rsidRDefault="0008415C">
            <w:pPr>
              <w:autoSpaceDE w:val="0"/>
              <w:autoSpaceDN w:val="0"/>
              <w:adjustRightInd w:val="0"/>
              <w:rPr>
                <w:b/>
                <w:bCs/>
              </w:rPr>
            </w:pPr>
          </w:p>
        </w:tc>
      </w:tr>
    </w:tbl>
    <w:p w14:paraId="14E4E46D" w14:textId="77777777" w:rsidR="00C611EB" w:rsidRDefault="00C611EB">
      <w:pPr>
        <w:pStyle w:val="Textkrper"/>
        <w:spacing w:before="120" w:after="120" w:line="260" w:lineRule="exact"/>
        <w:jc w:val="both"/>
        <w:rPr>
          <w:rFonts w:ascii="Arial" w:hAnsi="Arial"/>
          <w:b w:val="0"/>
          <w:bCs w:val="0"/>
        </w:rPr>
      </w:pPr>
    </w:p>
    <w:p w14:paraId="11589CFA" w14:textId="77777777" w:rsidR="004F4A57" w:rsidRDefault="004F4A57">
      <w:pPr>
        <w:pStyle w:val="Textkrper"/>
        <w:spacing w:before="120" w:after="120" w:line="260" w:lineRule="exact"/>
        <w:jc w:val="both"/>
        <w:rPr>
          <w:rFonts w:ascii="Arial" w:hAnsi="Arial"/>
          <w:b w:val="0"/>
          <w:bCs w:val="0"/>
        </w:rPr>
      </w:pPr>
    </w:p>
    <w:p w14:paraId="456FC2E4" w14:textId="77777777" w:rsidR="00C611EB" w:rsidRDefault="00C611EB">
      <w:pPr>
        <w:pStyle w:val="PITextkrper"/>
        <w:pBdr>
          <w:top w:val="single" w:sz="4" w:space="1" w:color="auto"/>
        </w:pBdr>
        <w:spacing w:before="240"/>
        <w:rPr>
          <w:b/>
          <w:sz w:val="18"/>
          <w:szCs w:val="18"/>
          <w:lang w:val="de-DE"/>
        </w:rPr>
      </w:pPr>
    </w:p>
    <w:p w14:paraId="33F383C1" w14:textId="77777777" w:rsidR="004F4A57" w:rsidRPr="00F630C4" w:rsidRDefault="004F4A57" w:rsidP="004F4A57">
      <w:pPr>
        <w:pStyle w:val="PITextkrper"/>
        <w:pBdr>
          <w:top w:val="single" w:sz="4" w:space="1" w:color="auto"/>
        </w:pBdr>
        <w:spacing w:before="240"/>
        <w:rPr>
          <w:b/>
          <w:sz w:val="20"/>
          <w:lang w:val="de-DE"/>
        </w:rPr>
      </w:pPr>
      <w:r w:rsidRPr="00F630C4">
        <w:rPr>
          <w:b/>
          <w:sz w:val="20"/>
          <w:lang w:val="de-DE"/>
        </w:rPr>
        <w:t xml:space="preserve">Über die Würth Elektronik </w:t>
      </w:r>
      <w:proofErr w:type="spellStart"/>
      <w:r w:rsidRPr="00F630C4">
        <w:rPr>
          <w:b/>
          <w:sz w:val="20"/>
          <w:lang w:val="de-DE"/>
        </w:rPr>
        <w:t>eiSos</w:t>
      </w:r>
      <w:proofErr w:type="spellEnd"/>
      <w:r w:rsidRPr="00F630C4">
        <w:rPr>
          <w:b/>
          <w:sz w:val="20"/>
          <w:lang w:val="de-DE"/>
        </w:rPr>
        <w:t xml:space="preserve"> Gruppe</w:t>
      </w:r>
    </w:p>
    <w:p w14:paraId="20125383" w14:textId="77777777" w:rsidR="004F4A57" w:rsidRPr="00F630C4" w:rsidRDefault="004F4A57" w:rsidP="004F4A57">
      <w:pPr>
        <w:pStyle w:val="Textkrper"/>
        <w:spacing w:before="120" w:after="120" w:line="276" w:lineRule="auto"/>
        <w:jc w:val="both"/>
        <w:rPr>
          <w:rFonts w:ascii="Arial" w:hAnsi="Arial"/>
          <w:b w:val="0"/>
        </w:rPr>
      </w:pPr>
      <w:r w:rsidRPr="00F630C4">
        <w:rPr>
          <w:rFonts w:ascii="Arial" w:hAnsi="Arial"/>
          <w:b w:val="0"/>
        </w:rPr>
        <w:t xml:space="preserve">Die Würth Elektronik </w:t>
      </w:r>
      <w:proofErr w:type="spellStart"/>
      <w:r w:rsidRPr="00F630C4">
        <w:rPr>
          <w:rFonts w:ascii="Arial" w:hAnsi="Arial"/>
          <w:b w:val="0"/>
        </w:rPr>
        <w:t>eiSos</w:t>
      </w:r>
      <w:proofErr w:type="spellEnd"/>
      <w:r w:rsidRPr="00F630C4">
        <w:rPr>
          <w:rFonts w:ascii="Arial" w:hAnsi="Arial"/>
          <w:b w:val="0"/>
        </w:rPr>
        <w:t xml:space="preserve"> Gruppe ist Hersteller elektronischer und elektromechanischer Bauelemente für die Elektronikindustrie und Technologie-</w:t>
      </w:r>
      <w:proofErr w:type="spellStart"/>
      <w:r w:rsidRPr="00F630C4">
        <w:rPr>
          <w:rFonts w:ascii="Arial" w:hAnsi="Arial"/>
          <w:b w:val="0"/>
        </w:rPr>
        <w:t>Enabler</w:t>
      </w:r>
      <w:proofErr w:type="spellEnd"/>
      <w:r w:rsidRPr="00F630C4">
        <w:rPr>
          <w:rFonts w:ascii="Arial" w:hAnsi="Arial"/>
          <w:b w:val="0"/>
        </w:rPr>
        <w:t xml:space="preserve"> für zukunftsweisende Elektroniklösungen. Würth Elektronik </w:t>
      </w:r>
      <w:proofErr w:type="spellStart"/>
      <w:r w:rsidRPr="00F630C4">
        <w:rPr>
          <w:rFonts w:ascii="Arial" w:hAnsi="Arial"/>
          <w:b w:val="0"/>
        </w:rPr>
        <w:t>eiSos</w:t>
      </w:r>
      <w:proofErr w:type="spellEnd"/>
      <w:r w:rsidRPr="00F630C4">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7A1A9E9B" w14:textId="77777777" w:rsidR="004F4A57" w:rsidRPr="00F630C4" w:rsidRDefault="004F4A57" w:rsidP="004F4A57">
      <w:pPr>
        <w:pStyle w:val="Textkrper"/>
        <w:spacing w:before="120" w:after="120" w:line="276" w:lineRule="auto"/>
        <w:jc w:val="both"/>
        <w:rPr>
          <w:rFonts w:ascii="Arial" w:hAnsi="Arial"/>
          <w:b w:val="0"/>
        </w:rPr>
      </w:pPr>
      <w:r w:rsidRPr="00F630C4">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6A438E3A" w14:textId="77777777" w:rsidR="004F4A57" w:rsidRPr="00F630C4" w:rsidRDefault="004F4A57" w:rsidP="004F4A57">
      <w:pPr>
        <w:pStyle w:val="Textkrper"/>
        <w:spacing w:before="120" w:after="120" w:line="276" w:lineRule="auto"/>
        <w:jc w:val="both"/>
        <w:rPr>
          <w:rFonts w:ascii="Arial" w:hAnsi="Arial"/>
          <w:b w:val="0"/>
        </w:rPr>
      </w:pPr>
      <w:r w:rsidRPr="00F630C4">
        <w:rPr>
          <w:rFonts w:ascii="Arial" w:hAnsi="Arial"/>
          <w:b w:val="0"/>
        </w:rPr>
        <w:t>Die Verfügbarkeit ab Lager aller Katalogbauteile ohne Mindestbestellmenge, kostenlose Muster und umfangreicher Support durch technische Vertriebsmitarbeite</w:t>
      </w:r>
      <w:r>
        <w:rPr>
          <w:rFonts w:ascii="Arial" w:hAnsi="Arial"/>
          <w:b w:val="0"/>
        </w:rPr>
        <w:t>nde</w:t>
      </w:r>
      <w:r w:rsidRPr="00F630C4">
        <w:rPr>
          <w:rFonts w:ascii="Arial" w:hAnsi="Arial"/>
          <w:b w:val="0"/>
        </w:rPr>
        <w:t xml:space="preserve"> und Auswahltools prägen die einzigartige Service-Orientierung des Unternehmens. </w:t>
      </w:r>
    </w:p>
    <w:p w14:paraId="3CB432E5" w14:textId="77777777" w:rsidR="004F4A57" w:rsidRPr="00F630C4" w:rsidRDefault="004F4A57" w:rsidP="004F4A57">
      <w:pPr>
        <w:pStyle w:val="Textkrper"/>
        <w:spacing w:before="120" w:after="120" w:line="276" w:lineRule="auto"/>
        <w:jc w:val="both"/>
        <w:rPr>
          <w:rFonts w:ascii="Arial" w:hAnsi="Arial"/>
          <w:b w:val="0"/>
        </w:rPr>
      </w:pPr>
      <w:r w:rsidRPr="00F630C4">
        <w:rPr>
          <w:rFonts w:ascii="Arial" w:hAnsi="Arial"/>
          <w:b w:val="0"/>
        </w:rPr>
        <w:t>Würth Elektronik ist Teil der Würth-Gruppe, dem Weltmarktführer für Montage- und Befestigungstechnik. Das Unternehmen beschäftigt 7 300 Mitarbeite</w:t>
      </w:r>
      <w:r>
        <w:rPr>
          <w:rFonts w:ascii="Arial" w:hAnsi="Arial"/>
          <w:b w:val="0"/>
        </w:rPr>
        <w:t>nde</w:t>
      </w:r>
      <w:r w:rsidRPr="00F630C4">
        <w:rPr>
          <w:rFonts w:ascii="Arial" w:hAnsi="Arial"/>
          <w:b w:val="0"/>
        </w:rPr>
        <w:t xml:space="preserve"> und hat im Jahr 20</w:t>
      </w:r>
      <w:r>
        <w:rPr>
          <w:rFonts w:ascii="Arial" w:hAnsi="Arial"/>
          <w:b w:val="0"/>
        </w:rPr>
        <w:t>20</w:t>
      </w:r>
      <w:r w:rsidRPr="00F630C4">
        <w:rPr>
          <w:rFonts w:ascii="Arial" w:hAnsi="Arial"/>
          <w:b w:val="0"/>
        </w:rPr>
        <w:t xml:space="preserve"> einen Umsatz von 82</w:t>
      </w:r>
      <w:r>
        <w:rPr>
          <w:rFonts w:ascii="Arial" w:hAnsi="Arial"/>
          <w:b w:val="0"/>
        </w:rPr>
        <w:t>3</w:t>
      </w:r>
      <w:r w:rsidRPr="00F630C4">
        <w:rPr>
          <w:rFonts w:ascii="Arial" w:hAnsi="Arial"/>
          <w:b w:val="0"/>
        </w:rPr>
        <w:t xml:space="preserve"> Millionen Euro erwirtschaftet.</w:t>
      </w:r>
    </w:p>
    <w:p w14:paraId="68113D47" w14:textId="77777777" w:rsidR="004F4A57" w:rsidRPr="00F630C4" w:rsidRDefault="004F4A57" w:rsidP="004F4A57">
      <w:pPr>
        <w:pStyle w:val="Textkrper"/>
        <w:spacing w:before="120" w:after="120" w:line="276" w:lineRule="auto"/>
        <w:rPr>
          <w:rFonts w:ascii="Arial" w:hAnsi="Arial"/>
          <w:b w:val="0"/>
        </w:rPr>
      </w:pPr>
      <w:r w:rsidRPr="00F630C4">
        <w:rPr>
          <w:rFonts w:ascii="Arial" w:hAnsi="Arial"/>
          <w:b w:val="0"/>
        </w:rPr>
        <w:t xml:space="preserve">Würth Elektronik: </w:t>
      </w:r>
      <w:proofErr w:type="spellStart"/>
      <w:r w:rsidRPr="00F630C4">
        <w:rPr>
          <w:rFonts w:ascii="Arial" w:hAnsi="Arial"/>
          <w:b w:val="0"/>
        </w:rPr>
        <w:t>more</w:t>
      </w:r>
      <w:proofErr w:type="spellEnd"/>
      <w:r w:rsidRPr="00F630C4">
        <w:rPr>
          <w:rFonts w:ascii="Arial" w:hAnsi="Arial"/>
          <w:b w:val="0"/>
        </w:rPr>
        <w:t xml:space="preserve"> </w:t>
      </w:r>
      <w:proofErr w:type="spellStart"/>
      <w:r w:rsidRPr="00F630C4">
        <w:rPr>
          <w:rFonts w:ascii="Arial" w:hAnsi="Arial"/>
          <w:b w:val="0"/>
        </w:rPr>
        <w:t>than</w:t>
      </w:r>
      <w:proofErr w:type="spellEnd"/>
      <w:r w:rsidRPr="00F630C4">
        <w:rPr>
          <w:rFonts w:ascii="Arial" w:hAnsi="Arial"/>
          <w:b w:val="0"/>
        </w:rPr>
        <w:t xml:space="preserve"> </w:t>
      </w:r>
      <w:proofErr w:type="spellStart"/>
      <w:r w:rsidRPr="00F630C4">
        <w:rPr>
          <w:rFonts w:ascii="Arial" w:hAnsi="Arial"/>
          <w:b w:val="0"/>
        </w:rPr>
        <w:t>you</w:t>
      </w:r>
      <w:proofErr w:type="spellEnd"/>
      <w:r w:rsidRPr="00F630C4">
        <w:rPr>
          <w:rFonts w:ascii="Arial" w:hAnsi="Arial"/>
          <w:b w:val="0"/>
        </w:rPr>
        <w:t xml:space="preserve"> </w:t>
      </w:r>
      <w:proofErr w:type="spellStart"/>
      <w:r w:rsidRPr="00F630C4">
        <w:rPr>
          <w:rFonts w:ascii="Arial" w:hAnsi="Arial"/>
          <w:b w:val="0"/>
        </w:rPr>
        <w:t>expect</w:t>
      </w:r>
      <w:proofErr w:type="spellEnd"/>
      <w:r w:rsidRPr="00F630C4">
        <w:rPr>
          <w:rFonts w:ascii="Arial" w:hAnsi="Arial"/>
          <w:b w:val="0"/>
        </w:rPr>
        <w:t>!</w:t>
      </w:r>
    </w:p>
    <w:p w14:paraId="7868AE92" w14:textId="77777777" w:rsidR="004F4A57" w:rsidRPr="00F630C4" w:rsidRDefault="004F4A57" w:rsidP="004F4A57">
      <w:pPr>
        <w:pStyle w:val="Textkrper"/>
        <w:spacing w:before="120" w:after="120" w:line="276" w:lineRule="auto"/>
        <w:rPr>
          <w:rFonts w:ascii="Arial" w:hAnsi="Arial"/>
        </w:rPr>
      </w:pPr>
      <w:r w:rsidRPr="00F630C4">
        <w:rPr>
          <w:rFonts w:ascii="Arial" w:hAnsi="Arial"/>
        </w:rPr>
        <w:t>Weitere Informationen unter www.we-online.</w:t>
      </w:r>
      <w:r>
        <w:rPr>
          <w:rFonts w:ascii="Arial" w:hAnsi="Arial"/>
        </w:rPr>
        <w:t>com</w:t>
      </w:r>
    </w:p>
    <w:p w14:paraId="62FE18D0" w14:textId="77777777" w:rsidR="004F4A57" w:rsidRPr="00F630C4" w:rsidRDefault="004F4A57" w:rsidP="004F4A57">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F4A57" w:rsidRPr="00F630C4" w14:paraId="0F2E43F0" w14:textId="77777777" w:rsidTr="00CD6645">
        <w:tc>
          <w:tcPr>
            <w:tcW w:w="3902" w:type="dxa"/>
            <w:hideMark/>
          </w:tcPr>
          <w:p w14:paraId="490AD47B" w14:textId="77777777" w:rsidR="004F4A57" w:rsidRPr="00F630C4" w:rsidRDefault="004F4A57" w:rsidP="00CD6645">
            <w:pPr>
              <w:pStyle w:val="Textkrper"/>
              <w:autoSpaceDE/>
              <w:adjustRightInd/>
              <w:spacing w:before="120" w:after="120" w:line="276" w:lineRule="auto"/>
              <w:rPr>
                <w:rFonts w:ascii="Arial" w:hAnsi="Arial"/>
                <w:bCs w:val="0"/>
                <w:szCs w:val="24"/>
              </w:rPr>
            </w:pPr>
            <w:r w:rsidRPr="00F630C4">
              <w:rPr>
                <w:rFonts w:ascii="Arial" w:hAnsi="Arial"/>
                <w:b w:val="0"/>
                <w:bCs w:val="0"/>
              </w:rPr>
              <w:br w:type="page"/>
            </w:r>
            <w:r w:rsidRPr="00F630C4">
              <w:rPr>
                <w:rFonts w:ascii="Arial" w:hAnsi="Arial"/>
                <w:bCs w:val="0"/>
                <w:szCs w:val="24"/>
              </w:rPr>
              <w:t>Weitere Informationen:</w:t>
            </w:r>
          </w:p>
          <w:p w14:paraId="3F864242" w14:textId="77777777" w:rsidR="004F4A57" w:rsidRPr="00F630C4" w:rsidRDefault="004F4A57" w:rsidP="00CD6645">
            <w:pPr>
              <w:spacing w:before="120" w:after="120" w:line="276" w:lineRule="auto"/>
              <w:rPr>
                <w:rFonts w:ascii="Arial" w:hAnsi="Arial" w:cs="Arial"/>
                <w:sz w:val="20"/>
              </w:rPr>
            </w:pPr>
            <w:r w:rsidRPr="00F630C4">
              <w:rPr>
                <w:rFonts w:ascii="Arial" w:hAnsi="Arial" w:cs="Arial"/>
                <w:sz w:val="20"/>
              </w:rPr>
              <w:t xml:space="preserve">Würth Elektronik </w:t>
            </w:r>
            <w:proofErr w:type="spellStart"/>
            <w:r w:rsidRPr="00F630C4">
              <w:rPr>
                <w:rFonts w:ascii="Arial" w:hAnsi="Arial" w:cs="Arial"/>
                <w:sz w:val="20"/>
              </w:rPr>
              <w:t>eiSos</w:t>
            </w:r>
            <w:proofErr w:type="spellEnd"/>
            <w:r w:rsidRPr="00F630C4">
              <w:rPr>
                <w:rFonts w:ascii="Arial" w:hAnsi="Arial" w:cs="Arial"/>
                <w:sz w:val="20"/>
              </w:rPr>
              <w:t xml:space="preserve"> GmbH &amp; Co. KG</w:t>
            </w:r>
            <w:r w:rsidRPr="00F630C4">
              <w:rPr>
                <w:rFonts w:ascii="Arial" w:hAnsi="Arial" w:cs="Arial"/>
                <w:sz w:val="20"/>
              </w:rPr>
              <w:br/>
              <w:t>Sarah Hurst</w:t>
            </w:r>
            <w:r w:rsidRPr="00F630C4">
              <w:rPr>
                <w:rFonts w:ascii="Arial" w:hAnsi="Arial" w:cs="Arial"/>
                <w:sz w:val="20"/>
              </w:rPr>
              <w:br/>
              <w:t>Max-Eyth-Straße 1</w:t>
            </w:r>
            <w:r w:rsidRPr="00F630C4">
              <w:rPr>
                <w:rFonts w:ascii="Arial" w:hAnsi="Arial" w:cs="Arial"/>
                <w:sz w:val="20"/>
              </w:rPr>
              <w:br/>
              <w:t xml:space="preserve">74638 </w:t>
            </w:r>
            <w:proofErr w:type="spellStart"/>
            <w:r w:rsidRPr="00F630C4">
              <w:rPr>
                <w:rFonts w:ascii="Arial" w:hAnsi="Arial" w:cs="Arial"/>
                <w:sz w:val="20"/>
              </w:rPr>
              <w:t>Waldenburg</w:t>
            </w:r>
            <w:proofErr w:type="spellEnd"/>
          </w:p>
          <w:p w14:paraId="1CA8B412" w14:textId="77777777" w:rsidR="004F4A57" w:rsidRPr="00F630C4" w:rsidRDefault="004F4A57" w:rsidP="00CD6645">
            <w:pPr>
              <w:spacing w:before="120" w:after="120" w:line="276" w:lineRule="auto"/>
              <w:rPr>
                <w:rFonts w:ascii="Arial" w:hAnsi="Arial" w:cs="Arial"/>
                <w:bCs/>
                <w:sz w:val="20"/>
              </w:rPr>
            </w:pPr>
            <w:r w:rsidRPr="00F630C4">
              <w:rPr>
                <w:rFonts w:ascii="Arial" w:hAnsi="Arial" w:cs="Arial"/>
                <w:sz w:val="20"/>
              </w:rPr>
              <w:t>Telefon: +49 7942 945-5186</w:t>
            </w:r>
            <w:r w:rsidRPr="00F630C4">
              <w:rPr>
                <w:rFonts w:ascii="Arial" w:hAnsi="Arial" w:cs="Arial"/>
                <w:sz w:val="20"/>
              </w:rPr>
              <w:br/>
            </w:r>
            <w:r w:rsidRPr="00F630C4">
              <w:rPr>
                <w:rFonts w:ascii="Arial" w:hAnsi="Arial" w:cs="Arial"/>
                <w:bCs/>
                <w:sz w:val="20"/>
              </w:rPr>
              <w:t>E-Mail: sarah.hurst@we-online.de</w:t>
            </w:r>
          </w:p>
          <w:p w14:paraId="0F10E511" w14:textId="77777777" w:rsidR="004F4A57" w:rsidRPr="00F630C4" w:rsidRDefault="004F4A57" w:rsidP="00CD6645">
            <w:pPr>
              <w:spacing w:before="120" w:after="120" w:line="276" w:lineRule="auto"/>
              <w:rPr>
                <w:rFonts w:ascii="Arial" w:hAnsi="Arial" w:cs="Arial"/>
                <w:bCs/>
                <w:sz w:val="20"/>
              </w:rPr>
            </w:pPr>
            <w:r w:rsidRPr="00F630C4">
              <w:rPr>
                <w:rFonts w:ascii="Arial" w:hAnsi="Arial" w:cs="Arial"/>
                <w:bCs/>
                <w:sz w:val="20"/>
              </w:rPr>
              <w:t>www.we-online.</w:t>
            </w:r>
            <w:r>
              <w:rPr>
                <w:rFonts w:ascii="Arial" w:hAnsi="Arial" w:cs="Arial"/>
                <w:bCs/>
                <w:sz w:val="20"/>
              </w:rPr>
              <w:t>com</w:t>
            </w:r>
          </w:p>
        </w:tc>
        <w:tc>
          <w:tcPr>
            <w:tcW w:w="3193" w:type="dxa"/>
            <w:hideMark/>
          </w:tcPr>
          <w:p w14:paraId="16307E71" w14:textId="77777777" w:rsidR="004F4A57" w:rsidRPr="00F630C4" w:rsidRDefault="004F4A57" w:rsidP="00CD6645">
            <w:pPr>
              <w:pStyle w:val="Textkrper"/>
              <w:tabs>
                <w:tab w:val="left" w:pos="1065"/>
              </w:tabs>
              <w:autoSpaceDE/>
              <w:adjustRightInd/>
              <w:spacing w:before="120" w:after="120" w:line="276" w:lineRule="auto"/>
              <w:rPr>
                <w:rFonts w:ascii="Arial" w:hAnsi="Arial"/>
                <w:bCs w:val="0"/>
                <w:szCs w:val="24"/>
              </w:rPr>
            </w:pPr>
            <w:r w:rsidRPr="00F630C4">
              <w:rPr>
                <w:rFonts w:ascii="Arial" w:hAnsi="Arial"/>
                <w:bCs w:val="0"/>
                <w:szCs w:val="24"/>
              </w:rPr>
              <w:t>Pressekontakt:</w:t>
            </w:r>
          </w:p>
          <w:p w14:paraId="5D6F708B" w14:textId="77777777" w:rsidR="004F4A57" w:rsidRPr="00F630C4" w:rsidRDefault="004F4A57" w:rsidP="00CD6645">
            <w:pPr>
              <w:tabs>
                <w:tab w:val="left" w:pos="1065"/>
              </w:tabs>
              <w:spacing w:before="120" w:after="120" w:line="276" w:lineRule="auto"/>
              <w:rPr>
                <w:rFonts w:ascii="Arial" w:hAnsi="Arial" w:cs="Arial"/>
                <w:bCs/>
                <w:sz w:val="20"/>
              </w:rPr>
            </w:pPr>
            <w:r w:rsidRPr="00F630C4">
              <w:rPr>
                <w:rFonts w:ascii="Arial" w:hAnsi="Arial" w:cs="Arial"/>
                <w:bCs/>
                <w:sz w:val="20"/>
              </w:rPr>
              <w:t>HighTech communications GmbH</w:t>
            </w:r>
            <w:r w:rsidRPr="00F630C4">
              <w:rPr>
                <w:rFonts w:ascii="Arial" w:hAnsi="Arial" w:cs="Arial"/>
                <w:bCs/>
                <w:sz w:val="20"/>
              </w:rPr>
              <w:br/>
              <w:t>Brigitte Basilio</w:t>
            </w:r>
            <w:r w:rsidRPr="00F630C4">
              <w:rPr>
                <w:rFonts w:ascii="Arial" w:hAnsi="Arial" w:cs="Arial"/>
                <w:bCs/>
                <w:sz w:val="20"/>
              </w:rPr>
              <w:br/>
            </w:r>
            <w:proofErr w:type="spellStart"/>
            <w:r w:rsidRPr="00F630C4">
              <w:rPr>
                <w:rFonts w:ascii="Arial" w:hAnsi="Arial" w:cs="Arial"/>
                <w:bCs/>
                <w:sz w:val="20"/>
              </w:rPr>
              <w:t>Brunhamstraße</w:t>
            </w:r>
            <w:proofErr w:type="spellEnd"/>
            <w:r w:rsidRPr="00F630C4">
              <w:rPr>
                <w:rFonts w:ascii="Arial" w:hAnsi="Arial" w:cs="Arial"/>
                <w:bCs/>
                <w:sz w:val="20"/>
              </w:rPr>
              <w:t xml:space="preserve"> 21</w:t>
            </w:r>
            <w:r w:rsidRPr="00F630C4">
              <w:rPr>
                <w:rFonts w:ascii="Arial" w:hAnsi="Arial" w:cs="Arial"/>
                <w:bCs/>
                <w:sz w:val="20"/>
              </w:rPr>
              <w:br/>
              <w:t>81249 München</w:t>
            </w:r>
          </w:p>
          <w:p w14:paraId="173D66E1" w14:textId="77777777" w:rsidR="004F4A57" w:rsidRPr="00F630C4" w:rsidRDefault="004F4A57" w:rsidP="00CD6645">
            <w:pPr>
              <w:tabs>
                <w:tab w:val="left" w:pos="1065"/>
              </w:tabs>
              <w:spacing w:before="120" w:after="120" w:line="276" w:lineRule="auto"/>
              <w:rPr>
                <w:rFonts w:ascii="Arial" w:hAnsi="Arial" w:cs="Arial"/>
                <w:bCs/>
                <w:sz w:val="20"/>
              </w:rPr>
            </w:pPr>
            <w:r w:rsidRPr="00F630C4">
              <w:rPr>
                <w:rFonts w:ascii="Arial" w:hAnsi="Arial" w:cs="Arial"/>
                <w:bCs/>
                <w:sz w:val="20"/>
              </w:rPr>
              <w:t>Telefon: +49 89 500778-20</w:t>
            </w:r>
            <w:r w:rsidRPr="00F630C4">
              <w:rPr>
                <w:rFonts w:ascii="Arial" w:hAnsi="Arial" w:cs="Arial"/>
                <w:bCs/>
                <w:sz w:val="20"/>
              </w:rPr>
              <w:br/>
              <w:t xml:space="preserve">Telefax: +49 89 500778-77 </w:t>
            </w:r>
            <w:r w:rsidRPr="00F630C4">
              <w:rPr>
                <w:rFonts w:ascii="Arial" w:hAnsi="Arial" w:cs="Arial"/>
                <w:bCs/>
                <w:sz w:val="20"/>
              </w:rPr>
              <w:br/>
              <w:t>E-Mail: b.basilio@htcm.de</w:t>
            </w:r>
          </w:p>
          <w:p w14:paraId="29A08C2C" w14:textId="77777777" w:rsidR="004F4A57" w:rsidRPr="00F630C4" w:rsidRDefault="004F4A57" w:rsidP="00CD6645">
            <w:pPr>
              <w:tabs>
                <w:tab w:val="left" w:pos="1065"/>
              </w:tabs>
              <w:spacing w:before="120" w:after="120" w:line="276" w:lineRule="auto"/>
              <w:rPr>
                <w:rFonts w:ascii="Arial" w:hAnsi="Arial" w:cs="Arial"/>
                <w:bCs/>
                <w:sz w:val="20"/>
              </w:rPr>
            </w:pPr>
            <w:r w:rsidRPr="00F630C4">
              <w:rPr>
                <w:rFonts w:ascii="Arial" w:hAnsi="Arial" w:cs="Arial"/>
                <w:bCs/>
                <w:sz w:val="20"/>
              </w:rPr>
              <w:t xml:space="preserve">www.htcm.de </w:t>
            </w:r>
          </w:p>
        </w:tc>
      </w:tr>
    </w:tbl>
    <w:p w14:paraId="7F93996E" w14:textId="77777777" w:rsidR="00C611EB" w:rsidRDefault="00C611EB" w:rsidP="004F4A57">
      <w:pPr>
        <w:pStyle w:val="Textkrper"/>
        <w:spacing w:before="120" w:after="120" w:line="260" w:lineRule="exact"/>
      </w:pPr>
    </w:p>
    <w:sectPr w:rsidR="00C611EB">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D60C4" w14:textId="77777777" w:rsidR="00C611EB" w:rsidRDefault="00490EA6">
      <w:r>
        <w:separator/>
      </w:r>
    </w:p>
  </w:endnote>
  <w:endnote w:type="continuationSeparator" w:id="0">
    <w:p w14:paraId="3EE5A791" w14:textId="77777777" w:rsidR="00C611EB" w:rsidRDefault="0049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DBA6" w14:textId="751EE6F2" w:rsidR="00C611EB" w:rsidRDefault="00490EA6">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B461E9">
      <w:rPr>
        <w:rFonts w:ascii="Arial" w:hAnsi="Arial" w:cs="Arial"/>
        <w:noProof/>
        <w:snapToGrid w:val="0"/>
        <w:sz w:val="16"/>
        <w:szCs w:val="16"/>
        <w:lang w:val="en-US"/>
      </w:rPr>
      <w:t>WTH1PI984.docx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B301B" w14:textId="77777777" w:rsidR="00C611EB" w:rsidRDefault="00490EA6">
      <w:r>
        <w:separator/>
      </w:r>
    </w:p>
  </w:footnote>
  <w:footnote w:type="continuationSeparator" w:id="0">
    <w:p w14:paraId="35BE0D4A" w14:textId="77777777" w:rsidR="00C611EB" w:rsidRDefault="00490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26A4" w14:textId="77777777" w:rsidR="00C611EB" w:rsidRDefault="00490EA6">
    <w:pPr>
      <w:pStyle w:val="Kopfzeile"/>
      <w:tabs>
        <w:tab w:val="clear" w:pos="9072"/>
        <w:tab w:val="right" w:pos="9498"/>
      </w:tabs>
    </w:pPr>
    <w:r>
      <w:rPr>
        <w:noProof/>
      </w:rPr>
      <w:drawing>
        <wp:anchor distT="0" distB="0" distL="114300" distR="114300" simplePos="0" relativeHeight="251657728" behindDoc="0" locked="0" layoutInCell="1" allowOverlap="1" wp14:anchorId="069A1666" wp14:editId="6059F429">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440BA"/>
    <w:multiLevelType w:val="multilevel"/>
    <w:tmpl w:val="DC38CDF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1EB"/>
    <w:rsid w:val="000171F5"/>
    <w:rsid w:val="0008415C"/>
    <w:rsid w:val="00156EE9"/>
    <w:rsid w:val="00221451"/>
    <w:rsid w:val="003A3406"/>
    <w:rsid w:val="004632B9"/>
    <w:rsid w:val="00490EA6"/>
    <w:rsid w:val="004D7AE1"/>
    <w:rsid w:val="004F4A57"/>
    <w:rsid w:val="005146EE"/>
    <w:rsid w:val="007626E9"/>
    <w:rsid w:val="00811283"/>
    <w:rsid w:val="00917551"/>
    <w:rsid w:val="00B461E9"/>
    <w:rsid w:val="00C611EB"/>
    <w:rsid w:val="00CD0418"/>
    <w:rsid w:val="00D73332"/>
    <w:rsid w:val="00F83D33"/>
    <w:rsid w:val="00FF05F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08780F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de/THERMAL_WE-PCM?sq=WE-PCM"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de/katalog/de/THERMAL_WE-TGFG?sq=WE-TGF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we-online.de/katalog/de/THERMAL_WE-TGS?sq=WE-TG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online.de/katalog/de/THERMAL_WE-TGF?sq=WE-TGF"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DBDEE-ABFA-4A28-AC35-50F2BA5E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5276</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5894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Rade Gojković</cp:lastModifiedBy>
  <cp:revision>6</cp:revision>
  <cp:lastPrinted>2017-06-23T08:32:00Z</cp:lastPrinted>
  <dcterms:created xsi:type="dcterms:W3CDTF">2021-11-23T12:47:00Z</dcterms:created>
  <dcterms:modified xsi:type="dcterms:W3CDTF">2021-11-23T14:38:00Z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