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A7A3" w14:textId="77777777" w:rsidR="00E44AB6" w:rsidRPr="00F24926" w:rsidRDefault="009A2F8C" w:rsidP="006B381A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1B76EA30" w14:textId="08392D1D" w:rsidR="00B22C1E" w:rsidRPr="00F24926" w:rsidRDefault="009F44B6" w:rsidP="000815F1">
      <w:pPr>
        <w:pStyle w:val="PISubhead"/>
      </w:pPr>
      <w:r>
        <w:t xml:space="preserve">OPEN MIND </w:t>
      </w:r>
      <w:r w:rsidR="0027739D">
        <w:t>übernimmt</w:t>
      </w:r>
      <w:r>
        <w:t xml:space="preserve"> </w:t>
      </w:r>
      <w:r w:rsidR="00DA5870" w:rsidRPr="00DA5870">
        <w:t xml:space="preserve">CNC-Consult </w:t>
      </w:r>
    </w:p>
    <w:p w14:paraId="3C030256" w14:textId="77F27AC3" w:rsidR="00B22C1E" w:rsidRPr="00F24926" w:rsidRDefault="00200228" w:rsidP="006B381A">
      <w:pPr>
        <w:pStyle w:val="PIHead"/>
      </w:pPr>
      <w:r w:rsidRPr="00D32517">
        <w:rPr>
          <w:i/>
          <w:iCs/>
        </w:rPr>
        <w:t>hyper</w:t>
      </w:r>
      <w:r>
        <w:t>MILL</w:t>
      </w:r>
      <w:r w:rsidR="00D32517" w:rsidRPr="00D32517">
        <w:rPr>
          <w:vertAlign w:val="superscript"/>
        </w:rPr>
        <w:t>®</w:t>
      </w:r>
      <w:r>
        <w:t>-Vertriebspartner wird zur Niederlassung</w:t>
      </w:r>
    </w:p>
    <w:p w14:paraId="7E81FDC2" w14:textId="3AE26D1F" w:rsidR="00410E91" w:rsidRDefault="009A2F8C" w:rsidP="00410E91">
      <w:pPr>
        <w:pStyle w:val="PILead"/>
      </w:pPr>
      <w:proofErr w:type="spellStart"/>
      <w:r w:rsidRPr="00DB6716">
        <w:t>Wessling</w:t>
      </w:r>
      <w:proofErr w:type="spellEnd"/>
      <w:r w:rsidR="00965A98" w:rsidRPr="00DB6716">
        <w:t>,</w:t>
      </w:r>
      <w:r w:rsidR="00FB75C3" w:rsidRPr="00DB6716">
        <w:t> s-Hertogenbosch</w:t>
      </w:r>
      <w:r w:rsidR="00200228" w:rsidRPr="00DB6716">
        <w:t xml:space="preserve"> (N</w:t>
      </w:r>
      <w:r w:rsidR="000D1D5D" w:rsidRPr="00DB6716">
        <w:t>iederlande</w:t>
      </w:r>
      <w:r w:rsidR="00200228" w:rsidRPr="00DB6716">
        <w:t>)</w:t>
      </w:r>
      <w:r w:rsidR="005A45B6" w:rsidRPr="00DB6716">
        <w:t>,</w:t>
      </w:r>
      <w:r w:rsidR="00200228" w:rsidRPr="00DB6716">
        <w:t xml:space="preserve"> </w:t>
      </w:r>
      <w:r w:rsidR="008F213B">
        <w:t>18</w:t>
      </w:r>
      <w:r w:rsidR="00BA4F55" w:rsidRPr="00DB6716">
        <w:t>.</w:t>
      </w:r>
      <w:r w:rsidR="00D04B34" w:rsidRPr="00DB6716">
        <w:t xml:space="preserve"> </w:t>
      </w:r>
      <w:r w:rsidR="00D32517">
        <w:t>Januar</w:t>
      </w:r>
      <w:r w:rsidR="00D04B34" w:rsidRPr="00F24926">
        <w:t xml:space="preserve"> 20</w:t>
      </w:r>
      <w:r w:rsidR="00F02138">
        <w:t>2</w:t>
      </w:r>
      <w:r w:rsidR="00D32517">
        <w:t>1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200228" w:rsidRPr="00200228">
        <w:t>Zum 1.</w:t>
      </w:r>
      <w:r w:rsidR="00451D63">
        <w:t xml:space="preserve"> Januar </w:t>
      </w:r>
      <w:r w:rsidR="00200228" w:rsidRPr="00200228">
        <w:t>2021 hat OPEN MIND Technologies</w:t>
      </w:r>
      <w:r w:rsidR="00D32517">
        <w:t xml:space="preserve"> AG</w:t>
      </w:r>
      <w:r w:rsidR="00200228" w:rsidRPr="00200228">
        <w:t xml:space="preserve">, einer der führenden Hersteller von CAD/CAM-Lösungen, </w:t>
      </w:r>
      <w:r w:rsidR="00D32517">
        <w:t>die</w:t>
      </w:r>
      <w:r w:rsidR="00200228" w:rsidRPr="00200228">
        <w:t xml:space="preserve"> niederländische CNC-Consult &amp; Automation BV übernommen.</w:t>
      </w:r>
      <w:r w:rsidR="00200228">
        <w:t xml:space="preserve"> </w:t>
      </w:r>
      <w:r w:rsidR="00D32517">
        <w:t xml:space="preserve">CNC-Consult, </w:t>
      </w:r>
      <w:r w:rsidR="0027739D">
        <w:t xml:space="preserve">langjähriger </w:t>
      </w:r>
      <w:r w:rsidR="00200228">
        <w:t xml:space="preserve">Vertriebspartner für die CAD/CAM-Suite </w:t>
      </w:r>
      <w:r w:rsidR="00200228" w:rsidRPr="00D32517">
        <w:rPr>
          <w:i/>
          <w:iCs/>
        </w:rPr>
        <w:t>hyper</w:t>
      </w:r>
      <w:r w:rsidR="00200228">
        <w:t>MILL</w:t>
      </w:r>
      <w:r w:rsidR="00D32517" w:rsidRPr="00D32517">
        <w:rPr>
          <w:vertAlign w:val="superscript"/>
        </w:rPr>
        <w:t>®</w:t>
      </w:r>
      <w:r w:rsidR="00D32517">
        <w:t xml:space="preserve">, </w:t>
      </w:r>
      <w:r w:rsidR="00200228">
        <w:t>w</w:t>
      </w:r>
      <w:r w:rsidR="0027739D">
        <w:t xml:space="preserve">ird mit dem kompletten Mitarbeiterteam </w:t>
      </w:r>
      <w:r w:rsidR="00200228">
        <w:t>zur sechzehnten Tochtergesellschaft in der weltweiten Organisation von OPEN MIND</w:t>
      </w:r>
      <w:r w:rsidR="00410E91">
        <w:t>.</w:t>
      </w:r>
      <w:r w:rsidR="00200228">
        <w:t xml:space="preserve"> </w:t>
      </w:r>
      <w:r w:rsidR="00200228" w:rsidRPr="00200228">
        <w:t xml:space="preserve">Das Unternehmen </w:t>
      </w:r>
      <w:r w:rsidR="00410E91" w:rsidRPr="00200228">
        <w:t>firmier</w:t>
      </w:r>
      <w:r w:rsidR="00D32517">
        <w:t xml:space="preserve">t </w:t>
      </w:r>
      <w:r w:rsidR="0027739D">
        <w:t xml:space="preserve">künftig </w:t>
      </w:r>
      <w:r w:rsidR="00200228" w:rsidRPr="00200228">
        <w:t>unter dem Namen OPEN MIND Technologies Benelux BV.</w:t>
      </w:r>
    </w:p>
    <w:p w14:paraId="334F6CE9" w14:textId="766463F9" w:rsidR="00DC16CB" w:rsidRDefault="00200228" w:rsidP="00DC16CB">
      <w:pPr>
        <w:pStyle w:val="PITextkrper"/>
        <w:rPr>
          <w:lang w:val="de-DE"/>
        </w:rPr>
      </w:pPr>
      <w:r w:rsidRPr="00200228">
        <w:rPr>
          <w:lang w:val="de-DE"/>
        </w:rPr>
        <w:t xml:space="preserve">CNC-Consult ist seit 25 Jahren erfolgreich </w:t>
      </w:r>
      <w:r w:rsidR="00E4691D">
        <w:rPr>
          <w:lang w:val="de-DE"/>
        </w:rPr>
        <w:t>als beratender Softwarehändler für die</w:t>
      </w:r>
      <w:r w:rsidRPr="00200228">
        <w:rPr>
          <w:lang w:val="de-DE"/>
        </w:rPr>
        <w:t xml:space="preserve"> Fertigungsindustrie in den Benelux-Ländern tätig</w:t>
      </w:r>
      <w:r w:rsidR="00E4691D">
        <w:rPr>
          <w:lang w:val="de-DE"/>
        </w:rPr>
        <w:t xml:space="preserve"> und </w:t>
      </w:r>
      <w:r w:rsidR="00D32517">
        <w:rPr>
          <w:lang w:val="de-DE"/>
        </w:rPr>
        <w:t xml:space="preserve">kompetenter </w:t>
      </w:r>
      <w:r w:rsidR="00E4691D">
        <w:rPr>
          <w:lang w:val="de-DE"/>
        </w:rPr>
        <w:t xml:space="preserve">Ansprechpartner für alle </w:t>
      </w:r>
      <w:r w:rsidR="00E4691D" w:rsidRPr="00D32517">
        <w:rPr>
          <w:i/>
          <w:iCs/>
          <w:lang w:val="de-DE"/>
        </w:rPr>
        <w:t>hyper</w:t>
      </w:r>
      <w:r w:rsidR="00E4691D" w:rsidRPr="00200228">
        <w:rPr>
          <w:lang w:val="de-DE"/>
        </w:rPr>
        <w:t>MILL</w:t>
      </w:r>
      <w:r w:rsidR="00D32517" w:rsidRPr="00D32517">
        <w:rPr>
          <w:vertAlign w:val="superscript"/>
          <w:lang w:val="de-DE"/>
        </w:rPr>
        <w:t>®</w:t>
      </w:r>
      <w:r w:rsidR="00E4691D" w:rsidRPr="00200228">
        <w:rPr>
          <w:lang w:val="de-DE"/>
        </w:rPr>
        <w:t>-</w:t>
      </w:r>
      <w:r w:rsidR="00E4691D">
        <w:rPr>
          <w:lang w:val="de-DE"/>
        </w:rPr>
        <w:t xml:space="preserve">Anwender der Region. </w:t>
      </w:r>
      <w:r w:rsidRPr="00200228">
        <w:rPr>
          <w:lang w:val="de-DE"/>
        </w:rPr>
        <w:t xml:space="preserve">Maarten van Teeffelen, Gründer und Geschäftsführer von CNC-Consult, hat sich zum </w:t>
      </w:r>
      <w:r w:rsidR="00A76416">
        <w:rPr>
          <w:lang w:val="de-DE"/>
        </w:rPr>
        <w:t>Jahrese</w:t>
      </w:r>
      <w:r w:rsidR="00A76416" w:rsidRPr="00200228">
        <w:rPr>
          <w:lang w:val="de-DE"/>
        </w:rPr>
        <w:t xml:space="preserve">nde </w:t>
      </w:r>
      <w:r w:rsidRPr="00200228">
        <w:rPr>
          <w:lang w:val="de-DE"/>
        </w:rPr>
        <w:t>2020 aus seinem aktiven Geschäftsleben zurückgezogen</w:t>
      </w:r>
      <w:r w:rsidR="00DC16CB">
        <w:rPr>
          <w:lang w:val="de-DE"/>
        </w:rPr>
        <w:t xml:space="preserve"> und OPEN MIND war sein Wunschpartner für die Übernahme seines </w:t>
      </w:r>
      <w:r w:rsidR="00DC16CB" w:rsidRPr="00200228">
        <w:rPr>
          <w:lang w:val="de-DE"/>
        </w:rPr>
        <w:t>Unternehmen</w:t>
      </w:r>
      <w:r w:rsidR="00DC16CB">
        <w:rPr>
          <w:lang w:val="de-DE"/>
        </w:rPr>
        <w:t>s</w:t>
      </w:r>
      <w:r w:rsidR="004A2470">
        <w:rPr>
          <w:lang w:val="de-DE"/>
        </w:rPr>
        <w:t>.</w:t>
      </w:r>
      <w:r w:rsidR="00DC16CB">
        <w:rPr>
          <w:lang w:val="de-DE"/>
        </w:rPr>
        <w:t xml:space="preserve"> </w:t>
      </w:r>
      <w:r w:rsidR="00DC16CB" w:rsidRPr="00200228">
        <w:rPr>
          <w:lang w:val="de-DE"/>
        </w:rPr>
        <w:t xml:space="preserve">„Ich freue mich, dass wir mit OPEN MIND die beste Lösung </w:t>
      </w:r>
      <w:r w:rsidR="0027739D">
        <w:rPr>
          <w:lang w:val="de-DE"/>
        </w:rPr>
        <w:t xml:space="preserve">für beide Unternehmen und unsere Kunden </w:t>
      </w:r>
      <w:r w:rsidR="00DC16CB" w:rsidRPr="00200228">
        <w:rPr>
          <w:lang w:val="de-DE"/>
        </w:rPr>
        <w:t>gefunden haben</w:t>
      </w:r>
      <w:r w:rsidR="0027739D">
        <w:rPr>
          <w:lang w:val="de-DE"/>
        </w:rPr>
        <w:t>. Alle M</w:t>
      </w:r>
      <w:r w:rsidR="00DC16CB" w:rsidRPr="00200228">
        <w:rPr>
          <w:lang w:val="de-DE"/>
        </w:rPr>
        <w:t>itarbeiter</w:t>
      </w:r>
      <w:r w:rsidR="0027739D">
        <w:rPr>
          <w:lang w:val="de-DE"/>
        </w:rPr>
        <w:t xml:space="preserve">innen und Mitarbeiter können so </w:t>
      </w:r>
      <w:r w:rsidR="00DC16CB" w:rsidRPr="00200228">
        <w:rPr>
          <w:lang w:val="de-DE"/>
        </w:rPr>
        <w:t xml:space="preserve">weiterhin ihrem </w:t>
      </w:r>
      <w:proofErr w:type="spellStart"/>
      <w:r w:rsidR="00DC16CB" w:rsidRPr="00D32517">
        <w:rPr>
          <w:i/>
          <w:iCs/>
          <w:lang w:val="de-DE"/>
        </w:rPr>
        <w:t>hyper</w:t>
      </w:r>
      <w:r w:rsidR="00DC16CB" w:rsidRPr="00200228">
        <w:rPr>
          <w:lang w:val="de-DE"/>
        </w:rPr>
        <w:t>MILL</w:t>
      </w:r>
      <w:proofErr w:type="spellEnd"/>
      <w:r w:rsidR="00D32517" w:rsidRPr="00D32517">
        <w:rPr>
          <w:vertAlign w:val="superscript"/>
          <w:lang w:val="de-DE"/>
        </w:rPr>
        <w:t>®</w:t>
      </w:r>
      <w:r w:rsidR="00DC16CB" w:rsidRPr="00200228">
        <w:rPr>
          <w:lang w:val="de-DE"/>
        </w:rPr>
        <w:t>-Herzen folgen</w:t>
      </w:r>
      <w:r w:rsidR="004A2470">
        <w:rPr>
          <w:lang w:val="de-DE"/>
        </w:rPr>
        <w:t>“, so Maarten v</w:t>
      </w:r>
      <w:r w:rsidR="000314FC">
        <w:rPr>
          <w:lang w:val="de-DE"/>
        </w:rPr>
        <w:t>a</w:t>
      </w:r>
      <w:r w:rsidR="004A2470">
        <w:rPr>
          <w:lang w:val="de-DE"/>
        </w:rPr>
        <w:t>n Teeffelen</w:t>
      </w:r>
      <w:r w:rsidR="00DC16CB" w:rsidRPr="00200228">
        <w:rPr>
          <w:lang w:val="de-DE"/>
        </w:rPr>
        <w:t>.</w:t>
      </w:r>
    </w:p>
    <w:p w14:paraId="3D4833EE" w14:textId="7797ACD1" w:rsidR="00FD12C5" w:rsidRPr="00FD12C5" w:rsidRDefault="00FD12C5" w:rsidP="00DC16CB">
      <w:pPr>
        <w:pStyle w:val="PITextkrper"/>
        <w:rPr>
          <w:b/>
          <w:bCs/>
          <w:lang w:val="de-DE"/>
        </w:rPr>
      </w:pPr>
      <w:r w:rsidRPr="00FD12C5">
        <w:rPr>
          <w:b/>
          <w:bCs/>
          <w:lang w:val="de-DE"/>
        </w:rPr>
        <w:t>Erfahrenes Team übernommen</w:t>
      </w:r>
    </w:p>
    <w:p w14:paraId="0A2F789D" w14:textId="045C4DA8" w:rsidR="00DC16CB" w:rsidRDefault="00DC16CB" w:rsidP="00DC16CB">
      <w:pPr>
        <w:pStyle w:val="PITextkrper"/>
        <w:rPr>
          <w:lang w:val="de-DE"/>
        </w:rPr>
      </w:pPr>
      <w:r w:rsidRPr="00200228">
        <w:rPr>
          <w:lang w:val="de-DE"/>
        </w:rPr>
        <w:t>Volker Nesenhöner, CEO von OPEN MIND</w:t>
      </w:r>
      <w:r w:rsidR="00A76416">
        <w:rPr>
          <w:lang w:val="de-DE"/>
        </w:rPr>
        <w:t xml:space="preserve"> </w:t>
      </w:r>
      <w:r w:rsidR="00A76416" w:rsidRPr="00200228">
        <w:t>Technologies</w:t>
      </w:r>
      <w:r w:rsidR="00A76416">
        <w:t xml:space="preserve"> AG</w:t>
      </w:r>
      <w:r w:rsidRPr="00200228">
        <w:rPr>
          <w:lang w:val="de-DE"/>
        </w:rPr>
        <w:t xml:space="preserve">, </w:t>
      </w:r>
      <w:r>
        <w:rPr>
          <w:lang w:val="de-DE"/>
        </w:rPr>
        <w:t>erklärt</w:t>
      </w:r>
      <w:r w:rsidR="004A2470">
        <w:rPr>
          <w:lang w:val="de-DE"/>
        </w:rPr>
        <w:t>e</w:t>
      </w:r>
      <w:r>
        <w:rPr>
          <w:lang w:val="de-DE"/>
        </w:rPr>
        <w:t xml:space="preserve"> zur </w:t>
      </w:r>
      <w:r w:rsidR="0027739D">
        <w:rPr>
          <w:lang w:val="de-DE"/>
        </w:rPr>
        <w:t>Eröffnung der O</w:t>
      </w:r>
      <w:r w:rsidRPr="00200228">
        <w:rPr>
          <w:lang w:val="de-DE"/>
        </w:rPr>
        <w:t>PEN MIND Technologies Benelux BV</w:t>
      </w:r>
      <w:r>
        <w:rPr>
          <w:lang w:val="de-DE"/>
        </w:rPr>
        <w:t xml:space="preserve">: </w:t>
      </w:r>
      <w:r w:rsidRPr="00200228">
        <w:rPr>
          <w:lang w:val="de-DE"/>
        </w:rPr>
        <w:t xml:space="preserve">„CNC-Consult ist seit </w:t>
      </w:r>
      <w:r w:rsidR="004A2470">
        <w:rPr>
          <w:lang w:val="de-DE"/>
        </w:rPr>
        <w:t xml:space="preserve">weit </w:t>
      </w:r>
      <w:r w:rsidRPr="00200228">
        <w:rPr>
          <w:lang w:val="de-DE"/>
        </w:rPr>
        <w:t xml:space="preserve">mehr als 20 Jahren ein sehr erfolgreicher </w:t>
      </w:r>
      <w:r w:rsidRPr="00D32517">
        <w:rPr>
          <w:i/>
          <w:iCs/>
          <w:lang w:val="de-DE"/>
        </w:rPr>
        <w:t>hyper</w:t>
      </w:r>
      <w:r w:rsidRPr="00200228">
        <w:rPr>
          <w:lang w:val="de-DE"/>
        </w:rPr>
        <w:t>MILL</w:t>
      </w:r>
      <w:r w:rsidR="00D32517">
        <w:rPr>
          <w:vertAlign w:val="superscript"/>
          <w:lang w:val="de-DE"/>
        </w:rPr>
        <w:t>®</w:t>
      </w:r>
      <w:r w:rsidRPr="00200228">
        <w:rPr>
          <w:lang w:val="de-DE"/>
        </w:rPr>
        <w:t>-</w:t>
      </w:r>
      <w:r w:rsidR="004A2470">
        <w:rPr>
          <w:lang w:val="de-DE"/>
        </w:rPr>
        <w:t>Partner</w:t>
      </w:r>
      <w:r w:rsidRPr="00200228">
        <w:rPr>
          <w:lang w:val="de-DE"/>
        </w:rPr>
        <w:t xml:space="preserve">. In dieser Zeit hat CNC-Consult unsere Produkte hervorragend vertreten und positioniert. </w:t>
      </w:r>
      <w:r w:rsidR="004A2470">
        <w:rPr>
          <w:lang w:val="de-DE"/>
        </w:rPr>
        <w:t>Aus dieser starken Position heraus wollen wir</w:t>
      </w:r>
      <w:r w:rsidRPr="00200228">
        <w:rPr>
          <w:lang w:val="de-DE"/>
        </w:rPr>
        <w:t xml:space="preserve"> </w:t>
      </w:r>
      <w:r w:rsidR="0027739D">
        <w:rPr>
          <w:lang w:val="de-DE"/>
        </w:rPr>
        <w:t>weitere</w:t>
      </w:r>
      <w:r w:rsidRPr="00200228">
        <w:rPr>
          <w:lang w:val="de-DE"/>
        </w:rPr>
        <w:t xml:space="preserve"> A</w:t>
      </w:r>
      <w:r w:rsidR="004A2470">
        <w:rPr>
          <w:lang w:val="de-DE"/>
        </w:rPr>
        <w:t xml:space="preserve">nwender von unseren Lösungen </w:t>
      </w:r>
      <w:r w:rsidRPr="00200228">
        <w:rPr>
          <w:lang w:val="de-DE"/>
        </w:rPr>
        <w:t>überzeugen und unsere Marktstellun</w:t>
      </w:r>
      <w:r w:rsidR="0027739D">
        <w:rPr>
          <w:lang w:val="de-DE"/>
        </w:rPr>
        <w:t xml:space="preserve">g in den Benelux-Ländern </w:t>
      </w:r>
      <w:r w:rsidR="004A2470">
        <w:rPr>
          <w:lang w:val="de-DE"/>
        </w:rPr>
        <w:t>aus</w:t>
      </w:r>
      <w:r w:rsidRPr="00200228">
        <w:rPr>
          <w:lang w:val="de-DE"/>
        </w:rPr>
        <w:t xml:space="preserve">bauen. </w:t>
      </w:r>
      <w:r w:rsidR="00D32517">
        <w:rPr>
          <w:lang w:val="de-DE"/>
        </w:rPr>
        <w:t xml:space="preserve">Alle CNC-Consult-Mitarbeiterinnen und </w:t>
      </w:r>
      <w:r w:rsidR="00A76416">
        <w:rPr>
          <w:lang w:val="de-DE"/>
        </w:rPr>
        <w:t>-</w:t>
      </w:r>
      <w:r w:rsidR="00D32517">
        <w:rPr>
          <w:lang w:val="de-DE"/>
        </w:rPr>
        <w:t xml:space="preserve">Mitarbeiter </w:t>
      </w:r>
      <w:r w:rsidR="00FD12C5">
        <w:rPr>
          <w:lang w:val="de-DE"/>
        </w:rPr>
        <w:t>wurden</w:t>
      </w:r>
      <w:r w:rsidR="00D32517">
        <w:rPr>
          <w:lang w:val="de-DE"/>
        </w:rPr>
        <w:t xml:space="preserve"> übernommen</w:t>
      </w:r>
      <w:r w:rsidR="004A2470">
        <w:rPr>
          <w:lang w:val="de-DE"/>
        </w:rPr>
        <w:t>. W</w:t>
      </w:r>
      <w:r w:rsidR="00D32517">
        <w:rPr>
          <w:lang w:val="de-DE"/>
        </w:rPr>
        <w:t>ir können uns kein besser</w:t>
      </w:r>
      <w:r w:rsidR="004A2470">
        <w:rPr>
          <w:lang w:val="de-DE"/>
        </w:rPr>
        <w:t>es</w:t>
      </w:r>
      <w:r w:rsidR="00D32517">
        <w:rPr>
          <w:lang w:val="de-DE"/>
        </w:rPr>
        <w:t xml:space="preserve"> </w:t>
      </w:r>
      <w:r w:rsidR="004A2470">
        <w:rPr>
          <w:lang w:val="de-DE"/>
        </w:rPr>
        <w:t xml:space="preserve">Team </w:t>
      </w:r>
      <w:r w:rsidR="00D32517">
        <w:rPr>
          <w:lang w:val="de-DE"/>
        </w:rPr>
        <w:t>wünschen</w:t>
      </w:r>
      <w:r w:rsidR="0027739D">
        <w:rPr>
          <w:lang w:val="de-DE"/>
        </w:rPr>
        <w:t xml:space="preserve">, um für </w:t>
      </w:r>
      <w:r w:rsidR="00A76416">
        <w:rPr>
          <w:lang w:val="de-DE"/>
        </w:rPr>
        <w:t xml:space="preserve">unsere </w:t>
      </w:r>
      <w:r w:rsidR="0027739D">
        <w:rPr>
          <w:lang w:val="de-DE"/>
        </w:rPr>
        <w:t>b</w:t>
      </w:r>
      <w:r w:rsidRPr="00200228">
        <w:rPr>
          <w:lang w:val="de-DE"/>
        </w:rPr>
        <w:t xml:space="preserve">estehenden Kunden und Partner die </w:t>
      </w:r>
      <w:r w:rsidR="004A2470">
        <w:rPr>
          <w:lang w:val="de-DE"/>
        </w:rPr>
        <w:t>gewohnt hohe</w:t>
      </w:r>
      <w:r w:rsidRPr="00200228">
        <w:rPr>
          <w:lang w:val="de-DE"/>
        </w:rPr>
        <w:t xml:space="preserve"> Servicequalität</w:t>
      </w:r>
      <w:r w:rsidR="0027739D">
        <w:rPr>
          <w:lang w:val="de-DE"/>
        </w:rPr>
        <w:t xml:space="preserve"> fortz</w:t>
      </w:r>
      <w:r w:rsidR="004A2470">
        <w:rPr>
          <w:lang w:val="de-DE"/>
        </w:rPr>
        <w:t>uführen</w:t>
      </w:r>
      <w:r w:rsidR="00D32517">
        <w:rPr>
          <w:lang w:val="de-DE"/>
        </w:rPr>
        <w:t>.</w:t>
      </w:r>
      <w:r w:rsidRPr="00200228">
        <w:rPr>
          <w:lang w:val="de-DE"/>
        </w:rPr>
        <w:t xml:space="preserve">“ </w:t>
      </w:r>
    </w:p>
    <w:p w14:paraId="10E0D778" w14:textId="2565A5AA" w:rsidR="00545A48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47913157" w14:textId="77777777" w:rsidR="00674FAA" w:rsidRPr="00F24926" w:rsidRDefault="00674FAA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1CB6C4FA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2AAF6F02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7425E72" w14:textId="77777777" w:rsidR="00852645" w:rsidRPr="00852645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8" w:history="1">
        <w:r w:rsidRPr="00F24926">
          <w:rPr>
            <w:rStyle w:val="Hyperlink"/>
            <w:rFonts w:cs="Arial"/>
            <w:lang w:val="de-DE"/>
          </w:rPr>
          <w:t>http://www.htcm.de/kk/openmind</w:t>
        </w:r>
      </w:hyperlink>
    </w:p>
    <w:tbl>
      <w:tblPr>
        <w:tblW w:w="6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835"/>
      </w:tblGrid>
      <w:tr w:rsidR="00640FDE" w:rsidRPr="00640FDE" w14:paraId="2B77BAE7" w14:textId="24096C2D" w:rsidTr="009B138E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2A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5563504D" w14:textId="1BD61442" w:rsidR="00640FDE" w:rsidRPr="009B138E" w:rsidRDefault="000314FC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9B138E">
              <w:rPr>
                <w:rFonts w:ascii="Arial" w:hAnsi="Arial" w:cs="Arial"/>
                <w:b/>
                <w:noProof/>
                <w:sz w:val="18"/>
                <w:lang w:eastAsia="ko-KR"/>
              </w:rPr>
              <w:drawing>
                <wp:inline distT="0" distB="0" distL="0" distR="0" wp14:anchorId="7ED3FA05" wp14:editId="0D9B9A2C">
                  <wp:extent cx="2023110" cy="2185035"/>
                  <wp:effectExtent l="0" t="0" r="0" b="5715"/>
                  <wp:docPr id="1" name="Grafik 1" descr="Ein Bild, das Person, Mann, Anzug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Mann, Anzug, Kleidung enthält.&#10;&#10;Automatisch generierte Beschreibu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1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6CDE5" w14:textId="77777777" w:rsidR="00640FDE" w:rsidRPr="009B138E" w:rsidRDefault="00640FDE" w:rsidP="00640FDE">
            <w:pPr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</w:pPr>
            <w:r w:rsidRPr="009B138E"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5C5CA8A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3FF8162E" w14:textId="6FDE2858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9B138E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>Volker Nesenhöner, CEO OPEN MIND Technologies AG</w:t>
            </w:r>
            <w:r w:rsidRPr="009B138E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2835" w:type="dxa"/>
          </w:tcPr>
          <w:p w14:paraId="2C5FF892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78CFBF52" w14:textId="003CCEB7" w:rsidR="00640FDE" w:rsidRPr="009B138E" w:rsidRDefault="00AD5582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9B138E">
              <w:rPr>
                <w:rFonts w:ascii="Arial" w:hAnsi="Arial" w:cs="Arial"/>
                <w:b/>
                <w:noProof/>
                <w:sz w:val="18"/>
                <w:lang w:eastAsia="ko-KR"/>
              </w:rPr>
              <w:drawing>
                <wp:inline distT="0" distB="0" distL="0" distR="0" wp14:anchorId="37D2F522" wp14:editId="341E7608">
                  <wp:extent cx="1642110" cy="2189480"/>
                  <wp:effectExtent l="0" t="0" r="0" b="1270"/>
                  <wp:docPr id="4" name="Grafik 4" descr="Ein Bild, das Baum, Person, drauße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Baum, Person, draußen, Man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2F2B9" w14:textId="15DA501A" w:rsidR="00640FDE" w:rsidRPr="009B138E" w:rsidRDefault="00640FDE" w:rsidP="00640FDE">
            <w:pPr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</w:pPr>
            <w:r w:rsidRPr="009B138E"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 w:rsidR="00AD5582" w:rsidRPr="009B138E"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  <w:t>Maarten van Teeffelen</w:t>
            </w:r>
          </w:p>
          <w:p w14:paraId="0FB66778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1887CA13" w14:textId="2D7B36DE" w:rsidR="00640FDE" w:rsidRPr="009B138E" w:rsidRDefault="00640FDE" w:rsidP="00640FDE">
            <w:pPr>
              <w:rPr>
                <w:rFonts w:ascii="Arial" w:hAnsi="Arial" w:cs="Arial"/>
                <w:sz w:val="18"/>
                <w:szCs w:val="18"/>
              </w:rPr>
            </w:pPr>
            <w:r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t xml:space="preserve">Maarten van </w:t>
            </w:r>
            <w:proofErr w:type="spellStart"/>
            <w:r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t>Teeffelen</w:t>
            </w:r>
            <w:proofErr w:type="spellEnd"/>
            <w:r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t xml:space="preserve">, </w:t>
            </w:r>
            <w:r w:rsidR="000314FC"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t>Gründer von CNC-</w:t>
            </w:r>
            <w:proofErr w:type="spellStart"/>
            <w:r w:rsidR="000314FC"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t>Consult</w:t>
            </w:r>
            <w:proofErr w:type="spellEnd"/>
            <w:r w:rsidR="000314FC"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t xml:space="preserve"> &amp; Automation BV</w:t>
            </w:r>
            <w:r w:rsidR="00674FAA" w:rsidRPr="009B138E">
              <w:rPr>
                <w:rFonts w:ascii="Arial" w:hAnsi="Arial" w:cs="Arial"/>
                <w:b/>
                <w:snapToGrid w:val="0"/>
                <w:sz w:val="18"/>
                <w:szCs w:val="18"/>
                <w:lang w:eastAsia="ko-KR"/>
              </w:rPr>
              <w:br/>
            </w:r>
          </w:p>
        </w:tc>
      </w:tr>
    </w:tbl>
    <w:p w14:paraId="354449BC" w14:textId="6AF4B07F" w:rsidR="00B47356" w:rsidRDefault="00B47356" w:rsidP="00B47356">
      <w:pPr>
        <w:rPr>
          <w:lang w:eastAsia="x-none"/>
        </w:rPr>
      </w:pPr>
    </w:p>
    <w:p w14:paraId="17CD88BE" w14:textId="77777777" w:rsidR="004243CE" w:rsidRPr="00852645" w:rsidRDefault="004243CE" w:rsidP="004243CE">
      <w:pPr>
        <w:rPr>
          <w:lang w:eastAsia="x-none"/>
        </w:rPr>
      </w:pPr>
    </w:p>
    <w:p w14:paraId="43039386" w14:textId="77777777" w:rsidR="004243CE" w:rsidRPr="00852645" w:rsidRDefault="004243CE" w:rsidP="004243CE">
      <w:pPr>
        <w:rPr>
          <w:lang w:eastAsia="x-none"/>
        </w:rPr>
      </w:pPr>
    </w:p>
    <w:p w14:paraId="7B3F65DA" w14:textId="77777777" w:rsidR="00FD3BE6" w:rsidRPr="006C4623" w:rsidRDefault="00FD3BE6" w:rsidP="00FD3BE6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4A3344CB" w14:textId="77777777" w:rsidR="007F23EA" w:rsidRDefault="007F23EA" w:rsidP="007F23EA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2BE30F77" w14:textId="77777777" w:rsidR="007F23EA" w:rsidRDefault="007F23EA" w:rsidP="007F23EA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>®</w:t>
      </w:r>
      <w:r w:rsidRPr="006C4623">
        <w:rPr>
          <w:sz w:val="18"/>
          <w:szCs w:val="18"/>
        </w:rPr>
        <w:t xml:space="preserve"> integriert. Den höchstmöglichen Kundennutzen realisiert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 xml:space="preserve">®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40D51B67" w14:textId="77777777" w:rsidR="007F23EA" w:rsidRPr="00AE40CB" w:rsidRDefault="007F23EA" w:rsidP="007F23EA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>laut „NC Market Analysis Repor</w:t>
      </w:r>
      <w:r>
        <w:rPr>
          <w:sz w:val="18"/>
          <w:szCs w:val="18"/>
        </w:rPr>
        <w:t xml:space="preserve">t 2020“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 xml:space="preserve">-Systeme von OPEN MIND erfüllen </w:t>
      </w:r>
      <w:r w:rsidRPr="006C4623">
        <w:rPr>
          <w:rFonts w:cs="Arial"/>
          <w:sz w:val="18"/>
          <w:szCs w:val="18"/>
          <w:lang w:val="de-DE"/>
        </w:rPr>
        <w:lastRenderedPageBreak/>
        <w:t>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4A8909B8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proofErr w:type="spellStart"/>
      <w:r w:rsidRPr="00F24926">
        <w:rPr>
          <w:lang w:val="de-DE"/>
        </w:rPr>
        <w:t>Argelsrieder</w:t>
      </w:r>
      <w:proofErr w:type="spellEnd"/>
      <w:r w:rsidRPr="00F24926">
        <w:rPr>
          <w:lang w:val="de-DE"/>
        </w:rPr>
        <w:t xml:space="preserve">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0646C6BE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644313E7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7C5F7D8D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766074FE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1"/>
      <w:footerReference w:type="default" r:id="rId12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43C0" w14:textId="77777777" w:rsidR="00435E62" w:rsidRDefault="00435E62">
      <w:r>
        <w:separator/>
      </w:r>
    </w:p>
  </w:endnote>
  <w:endnote w:type="continuationSeparator" w:id="0">
    <w:p w14:paraId="0B12B499" w14:textId="77777777" w:rsidR="00435E62" w:rsidRDefault="004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B189" w14:textId="072504A6" w:rsidR="00C1019C" w:rsidRPr="000D1D5D" w:rsidRDefault="00C1019C" w:rsidP="00BB5688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0D1D5D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7E10C9">
      <w:rPr>
        <w:rStyle w:val="Seitenzahl"/>
        <w:rFonts w:cs="Arial"/>
        <w:noProof/>
      </w:rPr>
      <w:t>OPN1PI650.docx</w:t>
    </w:r>
    <w:r>
      <w:rPr>
        <w:rStyle w:val="Seitenzahl"/>
        <w:rFonts w:cs="Arial"/>
        <w:lang w:val="de-DE"/>
      </w:rPr>
      <w:fldChar w:fldCharType="end"/>
    </w:r>
    <w:r w:rsidRPr="000D1D5D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31D94" w14:textId="77777777" w:rsidR="00435E62" w:rsidRDefault="00435E62">
      <w:r>
        <w:separator/>
      </w:r>
    </w:p>
  </w:footnote>
  <w:footnote w:type="continuationSeparator" w:id="0">
    <w:p w14:paraId="0D03F23A" w14:textId="77777777" w:rsidR="00435E62" w:rsidRDefault="0043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AE85" w14:textId="505F35CF" w:rsidR="00C1019C" w:rsidRDefault="0093095C" w:rsidP="00482D0A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7D9BFD3A" wp14:editId="4BA6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4FC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D5D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228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39D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0E91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5E62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1D63"/>
    <w:rsid w:val="0045288C"/>
    <w:rsid w:val="00452947"/>
    <w:rsid w:val="00456449"/>
    <w:rsid w:val="00457809"/>
    <w:rsid w:val="00462B9D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2470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5B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0FDE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4FAA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62B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7938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7942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0C9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C1F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213B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95C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138E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4B6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416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5582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C7114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363D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17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870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6716"/>
    <w:rsid w:val="00DB73A8"/>
    <w:rsid w:val="00DC0F31"/>
    <w:rsid w:val="00DC16CB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6B6E"/>
    <w:rsid w:val="00E37625"/>
    <w:rsid w:val="00E43F76"/>
    <w:rsid w:val="00E44AB6"/>
    <w:rsid w:val="00E44BEE"/>
    <w:rsid w:val="00E4691D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1E89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5C3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2C5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0E465A"/>
  <w15:chartTrackingRefBased/>
  <w15:docId w15:val="{DFC7CA6C-5BFC-41C7-AFC8-CF4EC30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B7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styleId="BesuchterLink">
    <w:name w:val="Followed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20022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0228"/>
  </w:style>
  <w:style w:type="character" w:customStyle="1" w:styleId="eop">
    <w:name w:val="eop"/>
    <w:basedOn w:val="Absatz-Standardschriftart"/>
    <w:rsid w:val="00200228"/>
  </w:style>
  <w:style w:type="character" w:customStyle="1" w:styleId="berschrift1Zchn">
    <w:name w:val="Überschrift 1 Zchn"/>
    <w:basedOn w:val="Absatz-Standardschriftart"/>
    <w:link w:val="berschrift1"/>
    <w:rsid w:val="00FB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openmi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7C28-2688-4482-8E14-ABF219D9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477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3847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6</cp:revision>
  <cp:lastPrinted>2013-08-22T07:31:00Z</cp:lastPrinted>
  <dcterms:created xsi:type="dcterms:W3CDTF">2021-01-14T13:41:00Z</dcterms:created>
  <dcterms:modified xsi:type="dcterms:W3CDTF">2021-01-18T10:32:00Z</dcterms:modified>
</cp:coreProperties>
</file>