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D9A78" w14:textId="77777777" w:rsidR="00ED2359" w:rsidRDefault="00122063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4DABB11B" w14:textId="77777777" w:rsidR="00ED2359" w:rsidRPr="00122063" w:rsidRDefault="00122063">
      <w:pPr>
        <w:rPr>
          <w:rFonts w:ascii="Arial" w:hAnsi="Arial" w:cs="Arial"/>
          <w:b/>
          <w:bCs/>
        </w:rPr>
      </w:pPr>
      <w:proofErr w:type="spellStart"/>
      <w:r w:rsidRPr="00122063">
        <w:rPr>
          <w:rFonts w:ascii="Arial" w:hAnsi="Arial"/>
          <w:b/>
          <w:bCs/>
        </w:rPr>
        <w:t>Würth</w:t>
      </w:r>
      <w:proofErr w:type="spellEnd"/>
      <w:r w:rsidRPr="00122063">
        <w:rPr>
          <w:rFonts w:ascii="Arial" w:hAnsi="Arial"/>
          <w:b/>
          <w:bCs/>
        </w:rPr>
        <w:t xml:space="preserve"> </w:t>
      </w:r>
      <w:proofErr w:type="spellStart"/>
      <w:r w:rsidRPr="00122063">
        <w:rPr>
          <w:rFonts w:ascii="Arial" w:hAnsi="Arial"/>
          <w:b/>
          <w:bCs/>
        </w:rPr>
        <w:t>Elektronik</w:t>
      </w:r>
      <w:proofErr w:type="spellEnd"/>
      <w:r w:rsidRPr="00122063">
        <w:rPr>
          <w:rFonts w:ascii="Arial" w:hAnsi="Arial"/>
          <w:b/>
          <w:bCs/>
        </w:rPr>
        <w:t xml:space="preserve"> amplia la famiglia di prodotti degli induttori a corrente elevata WE-HCM</w:t>
      </w:r>
    </w:p>
    <w:p w14:paraId="4EB62589" w14:textId="77777777" w:rsidR="00ED2359" w:rsidRPr="00122063" w:rsidRDefault="00122063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 w:rsidRPr="00122063">
        <w:rPr>
          <w:rFonts w:ascii="Arial" w:hAnsi="Arial"/>
          <w:b/>
          <w:bCs/>
          <w:sz w:val="36"/>
        </w:rPr>
        <w:t>Ingombro ridotto, i valori migliori</w:t>
      </w:r>
    </w:p>
    <w:p w14:paraId="3CCAD29C" w14:textId="25908558" w:rsidR="00ED2359" w:rsidRPr="00122063" w:rsidRDefault="00122063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 w:rsidRPr="00122063">
        <w:rPr>
          <w:rFonts w:ascii="Arial" w:hAnsi="Arial"/>
        </w:rPr>
        <w:t>Waldenburg</w:t>
      </w:r>
      <w:proofErr w:type="spellEnd"/>
      <w:r w:rsidRPr="00122063">
        <w:rPr>
          <w:rFonts w:ascii="Arial" w:hAnsi="Arial"/>
        </w:rPr>
        <w:t xml:space="preserve"> (Germania), </w:t>
      </w:r>
      <w:r w:rsidR="00261CB1" w:rsidRPr="00122063">
        <w:rPr>
          <w:rFonts w:ascii="Arial" w:hAnsi="Arial"/>
        </w:rPr>
        <w:t>2</w:t>
      </w:r>
      <w:r w:rsidR="0027263B">
        <w:rPr>
          <w:rFonts w:ascii="Arial" w:hAnsi="Arial"/>
        </w:rPr>
        <w:t>4</w:t>
      </w:r>
      <w:r w:rsidR="00261CB1" w:rsidRPr="00122063">
        <w:rPr>
          <w:rFonts w:ascii="Arial" w:hAnsi="Arial"/>
        </w:rPr>
        <w:t xml:space="preserve"> marzo</w:t>
      </w:r>
      <w:r w:rsidRPr="00122063">
        <w:rPr>
          <w:rFonts w:ascii="Arial" w:hAnsi="Arial"/>
        </w:rPr>
        <w:t xml:space="preserve"> 2021 – Una delle più importanti novità nell’ambito degli induttori a corrente elevata con tecnologia SMT di </w:t>
      </w:r>
      <w:proofErr w:type="spellStart"/>
      <w:r w:rsidRPr="00122063">
        <w:rPr>
          <w:rFonts w:ascii="Arial" w:hAnsi="Arial"/>
        </w:rPr>
        <w:t>Würth</w:t>
      </w:r>
      <w:proofErr w:type="spellEnd"/>
      <w:r w:rsidRPr="00122063">
        <w:rPr>
          <w:rFonts w:ascii="Arial" w:hAnsi="Arial"/>
        </w:rPr>
        <w:t xml:space="preserve"> </w:t>
      </w:r>
      <w:proofErr w:type="spellStart"/>
      <w:r w:rsidRPr="00122063">
        <w:rPr>
          <w:rFonts w:ascii="Arial" w:hAnsi="Arial"/>
        </w:rPr>
        <w:t>Elektronik</w:t>
      </w:r>
      <w:proofErr w:type="spellEnd"/>
      <w:r w:rsidRPr="00122063">
        <w:rPr>
          <w:rFonts w:ascii="Arial" w:hAnsi="Arial"/>
        </w:rPr>
        <w:t xml:space="preserve"> è rappresentata dall’estensione dell’offerta attraverso le dimensioni 1012, 4030 e 5030 della serie WE-HCM. Queste bobine a filo piatto con nucleo in manganese-zinco si contraddistinguono per una resistenza estremamente ridotta, esigue perdite nel nucleo e una portata di corrente molto elevata. Grazie al loro ingombro ridotto, i componenti si presentano agli sviluppatori e ai produttori come la prima scelta per dispositivi con un design nuovo e più compatto.</w:t>
      </w:r>
    </w:p>
    <w:p w14:paraId="4BFE7C58" w14:textId="77777777" w:rsidR="00ED2359" w:rsidRPr="00122063" w:rsidRDefault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22063">
        <w:rPr>
          <w:rFonts w:ascii="Arial" w:hAnsi="Arial"/>
          <w:b w:val="0"/>
          <w:bCs w:val="0"/>
        </w:rPr>
        <w:t xml:space="preserve">L’induttore a corrente elevata WE-HCM1012 necessita di uno spazio di soli 10 x 6 mm sulla scheda e ospita la bobina a filo piatto in un package di 12 mm. La </w:t>
      </w:r>
      <w:bookmarkStart w:id="0" w:name="_Hlk62050852"/>
      <w:r w:rsidRPr="00122063">
        <w:rPr>
          <w:rFonts w:ascii="Arial" w:hAnsi="Arial"/>
          <w:b w:val="0"/>
          <w:bCs w:val="0"/>
        </w:rPr>
        <w:t xml:space="preserve">corrente nominale di 84A e la corrente di saturazione superiore a 125A consistono in valori elevati. </w:t>
      </w:r>
      <w:bookmarkEnd w:id="0"/>
      <w:r w:rsidRPr="00122063">
        <w:rPr>
          <w:rFonts w:ascii="Arial" w:hAnsi="Arial"/>
          <w:b w:val="0"/>
          <w:bCs w:val="0"/>
        </w:rPr>
        <w:t>L’induttore WE-HCM1012 è disponibile in varianti con una induttanza di 0,07µH 0,1µH, 0,12µH e 0,15µH.</w:t>
      </w:r>
    </w:p>
    <w:p w14:paraId="7CF5155B" w14:textId="77777777" w:rsidR="00ED2359" w:rsidRPr="00122063" w:rsidRDefault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22063">
        <w:rPr>
          <w:rFonts w:ascii="Arial" w:hAnsi="Arial"/>
          <w:b w:val="0"/>
          <w:bCs w:val="0"/>
        </w:rPr>
        <w:t xml:space="preserve">I due nuovi modelli WE-HCM nelle dimensioni 4030 e 5030 sono inoltre a ingombro in pianta e in altezza eccezionalmente ridotto. Grazie a un’altezza di soli 3 millimetri, sono particolarmente adatti ad esempio per l’utilizzo in notebook convertibili e tablet. I campi di applicazione comprendono regolatori switching multifase, alimentazione di potenza CPU/RAM, PowerPC o schede grafiche. La corrente di saturazione raggiunge 45 A e la corrente nominale è di 59A. Tutte le versioni WE-HCM sono indicate per un range di temperatura di esercizio compreso tra </w:t>
      </w:r>
      <w:r w:rsidRPr="00122063">
        <w:rPr>
          <w:rFonts w:ascii="Arial" w:hAnsi="Arial"/>
          <w:b w:val="0"/>
          <w:bCs w:val="0"/>
        </w:rPr>
        <w:noBreakHyphen/>
        <w:t>40 e +125 °C.</w:t>
      </w:r>
    </w:p>
    <w:p w14:paraId="614138A5" w14:textId="77777777" w:rsidR="00ED2359" w:rsidRDefault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  <w:color w:val="000000"/>
        </w:rPr>
        <w:t xml:space="preserve">I nuovi induttori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WE-HCM</w:t>
        </w:r>
      </w:hyperlink>
      <w:r>
        <w:rPr>
          <w:rFonts w:ascii="Arial" w:hAnsi="Arial"/>
          <w:b w:val="0"/>
          <w:bCs w:val="0"/>
          <w:color w:val="000000"/>
        </w:rPr>
        <w:t xml:space="preserve"> sono disponibili fin da subito a magazzino senza limite minimo d'ordine. </w:t>
      </w:r>
      <w:proofErr w:type="spellStart"/>
      <w:r>
        <w:rPr>
          <w:rFonts w:ascii="Arial" w:hAnsi="Arial"/>
          <w:b w:val="0"/>
          <w:bCs w:val="0"/>
          <w:color w:val="000000"/>
        </w:rPr>
        <w:t>Würth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</w:t>
      </w:r>
      <w:proofErr w:type="spellStart"/>
      <w:r>
        <w:rPr>
          <w:rFonts w:ascii="Arial" w:hAnsi="Arial"/>
          <w:b w:val="0"/>
          <w:bCs w:val="0"/>
          <w:color w:val="000000"/>
        </w:rPr>
        <w:t>Elektronik</w:t>
      </w:r>
      <w:proofErr w:type="spellEnd"/>
      <w:r>
        <w:rPr>
          <w:rFonts w:ascii="Arial" w:hAnsi="Arial"/>
          <w:b w:val="0"/>
          <w:bCs w:val="0"/>
          <w:color w:val="000000"/>
        </w:rPr>
        <w:t xml:space="preserve"> mette a disposizione degli sviluppatori campioni gratuiti su richiesta.</w:t>
      </w:r>
    </w:p>
    <w:p w14:paraId="1E27040F" w14:textId="3A3A7D3E" w:rsidR="00ED2359" w:rsidRDefault="00ED2359">
      <w:pPr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63BEA573" w14:textId="77777777" w:rsidR="00122063" w:rsidRDefault="00122063" w:rsidP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</w:p>
    <w:p w14:paraId="23DE0B44" w14:textId="77777777" w:rsidR="00122063" w:rsidRDefault="00122063" w:rsidP="0012206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862E50E" w14:textId="77777777" w:rsidR="00122063" w:rsidRPr="004D044E" w:rsidRDefault="00122063" w:rsidP="00122063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24FA0A27" w14:textId="77777777" w:rsidR="00122063" w:rsidRPr="00591131" w:rsidRDefault="00122063" w:rsidP="00122063">
      <w:pPr>
        <w:spacing w:after="120" w:line="280" w:lineRule="exact"/>
        <w:rPr>
          <w:rStyle w:val="Hyperlink"/>
          <w:rFonts w:ascii="Arial" w:hAnsi="Arial"/>
          <w:sz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70E386FE" w14:textId="77777777" w:rsidR="00122063" w:rsidRDefault="00122063">
      <w:pPr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p w14:paraId="59D37F6D" w14:textId="77777777" w:rsidR="00ED2359" w:rsidRDefault="00ED2359">
      <w:pPr>
        <w:spacing w:after="120" w:line="280" w:lineRule="exact"/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86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1"/>
      </w:tblGrid>
      <w:tr w:rsidR="00ED2359" w14:paraId="37919834" w14:textId="77777777">
        <w:trPr>
          <w:trHeight w:val="1701"/>
        </w:trPr>
        <w:tc>
          <w:tcPr>
            <w:tcW w:w="3861" w:type="dxa"/>
          </w:tcPr>
          <w:p w14:paraId="21CC597B" w14:textId="0987F696" w:rsidR="00B72DB3" w:rsidRDefault="00DB38E8" w:rsidP="00B72DB3">
            <w:pPr>
              <w:pStyle w:val="txt"/>
              <w:rPr>
                <w:b/>
                <w:bCs/>
                <w:sz w:val="18"/>
                <w:szCs w:val="18"/>
              </w:rPr>
            </w:pPr>
            <w:r>
              <w:rPr>
                <w:b/>
              </w:rPr>
              <w:lastRenderedPageBreak/>
              <w:br/>
            </w:r>
            <w:r w:rsidR="00122063"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5800C913" wp14:editId="312ECFCB">
                  <wp:extent cx="2362835" cy="109410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2063"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>
              <w:rPr>
                <w:bCs/>
                <w:sz w:val="16"/>
                <w:szCs w:val="16"/>
              </w:rPr>
              <w:br/>
            </w:r>
            <w:r w:rsidR="00122063"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 w:rsidR="00122063">
              <w:rPr>
                <w:bCs/>
                <w:sz w:val="16"/>
                <w:szCs w:val="16"/>
              </w:rPr>
              <w:t>Würth</w:t>
            </w:r>
            <w:proofErr w:type="spellEnd"/>
            <w:r w:rsidR="0012206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122063">
              <w:rPr>
                <w:bCs/>
                <w:sz w:val="16"/>
                <w:szCs w:val="16"/>
              </w:rPr>
              <w:t>Elektronik</w:t>
            </w:r>
            <w:proofErr w:type="spellEnd"/>
            <w:r w:rsidR="00122063">
              <w:rPr>
                <w:bCs/>
                <w:sz w:val="16"/>
                <w:szCs w:val="16"/>
              </w:rPr>
              <w:t xml:space="preserve"> </w:t>
            </w:r>
            <w:r w:rsidR="00122063">
              <w:rPr>
                <w:bCs/>
                <w:sz w:val="16"/>
                <w:szCs w:val="16"/>
              </w:rPr>
              <w:br/>
            </w:r>
            <w:r w:rsidR="00122063">
              <w:rPr>
                <w:bCs/>
                <w:sz w:val="16"/>
                <w:szCs w:val="16"/>
              </w:rPr>
              <w:br/>
            </w:r>
            <w:r w:rsidR="00364D94">
              <w:rPr>
                <w:b/>
                <w:snapToGrid w:val="0"/>
                <w:color w:val="auto"/>
                <w:sz w:val="18"/>
                <w:szCs w:val="24"/>
              </w:rPr>
              <w:t>Induttori a corrente elevata assemblabili con tecnologia SMT nelle dimensioni 1012, 4030 e 5030 della serie WE-HCM</w:t>
            </w:r>
            <w:r w:rsidR="00122063">
              <w:br/>
            </w:r>
          </w:p>
        </w:tc>
      </w:tr>
    </w:tbl>
    <w:p w14:paraId="5CF7584C" w14:textId="77777777" w:rsidR="00122063" w:rsidRPr="004C0F82" w:rsidRDefault="00122063" w:rsidP="0012206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8033BF8" w14:textId="77777777" w:rsidR="00122063" w:rsidRPr="004C0F82" w:rsidRDefault="00122063" w:rsidP="0012206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F206332" w14:textId="77777777" w:rsidR="00122063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1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288A67A8" w14:textId="77777777" w:rsidR="00122063" w:rsidRPr="0004050A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0B7607C" w14:textId="77777777" w:rsidR="00122063" w:rsidRPr="00212CFC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1"/>
    <w:p w14:paraId="75FD67AF" w14:textId="77777777" w:rsidR="00122063" w:rsidRPr="00212CFC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157FA155" w14:textId="77777777" w:rsidR="00122063" w:rsidRPr="00212CFC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5C5CFDFD" w14:textId="77777777" w:rsidR="00122063" w:rsidRDefault="00122063" w:rsidP="00122063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2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</w:t>
      </w:r>
      <w:r>
        <w:rPr>
          <w:rFonts w:ascii="Arial" w:hAnsi="Arial"/>
          <w:b w:val="0"/>
          <w:lang w:val="en-US"/>
        </w:rPr>
        <w:t>20</w:t>
      </w:r>
      <w:r w:rsidRPr="00661620">
        <w:rPr>
          <w:rFonts w:ascii="Arial" w:hAnsi="Arial"/>
          <w:b w:val="0"/>
          <w:lang w:val="en-US"/>
        </w:rPr>
        <w:t xml:space="preserve">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</w:t>
      </w:r>
      <w:r>
        <w:rPr>
          <w:rFonts w:ascii="Arial" w:hAnsi="Arial"/>
          <w:b w:val="0"/>
          <w:lang w:val="en-US"/>
        </w:rPr>
        <w:t>3</w:t>
      </w:r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2"/>
    <w:p w14:paraId="7688B104" w14:textId="77777777" w:rsidR="00122063" w:rsidRPr="00BB2A0F" w:rsidRDefault="00122063" w:rsidP="00122063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74FBEC0C" w14:textId="77777777" w:rsidR="00122063" w:rsidRDefault="00122063" w:rsidP="00122063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F9B8377" w14:textId="77777777" w:rsidR="00122063" w:rsidRPr="00212CFC" w:rsidRDefault="00122063" w:rsidP="00122063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122063" w:rsidRPr="00625C04" w14:paraId="2E26EBA0" w14:textId="77777777" w:rsidTr="00B122EE">
        <w:tc>
          <w:tcPr>
            <w:tcW w:w="3902" w:type="dxa"/>
            <w:shd w:val="clear" w:color="auto" w:fill="auto"/>
            <w:hideMark/>
          </w:tcPr>
          <w:p w14:paraId="0C0F56DB" w14:textId="77777777" w:rsidR="00122063" w:rsidRPr="00A06F99" w:rsidRDefault="00122063" w:rsidP="00B122EE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lastRenderedPageBreak/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4383D551" w14:textId="77777777" w:rsidR="00122063" w:rsidRPr="00A06F99" w:rsidRDefault="00122063" w:rsidP="00B122EE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339B6263" w14:textId="77777777" w:rsidR="00122063" w:rsidRPr="00A06F99" w:rsidRDefault="00122063" w:rsidP="00B122E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6B1A4142" w14:textId="77777777" w:rsidR="00122063" w:rsidRPr="00625C04" w:rsidRDefault="00122063" w:rsidP="00B122E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69468440" w14:textId="77777777" w:rsidR="00122063" w:rsidRPr="00625C04" w:rsidRDefault="00122063" w:rsidP="00B122EE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514C6E14" w14:textId="77777777" w:rsidR="00122063" w:rsidRPr="00625C04" w:rsidRDefault="00122063" w:rsidP="00B122EE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7C27E581" w14:textId="77777777" w:rsidR="00122063" w:rsidRPr="00625C04" w:rsidRDefault="00122063" w:rsidP="00B122E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219C89D0" w14:textId="77777777" w:rsidR="00122063" w:rsidRPr="00625C04" w:rsidRDefault="00122063" w:rsidP="00B122E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0D5FC576" w14:textId="77777777" w:rsidR="00122063" w:rsidRPr="00625C04" w:rsidRDefault="00122063" w:rsidP="00B122EE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62A35F7" w14:textId="77777777" w:rsidR="00122063" w:rsidRDefault="00122063" w:rsidP="00122063">
      <w:pPr>
        <w:pStyle w:val="Textkrper"/>
        <w:spacing w:before="120" w:after="120" w:line="260" w:lineRule="exact"/>
        <w:jc w:val="both"/>
      </w:pPr>
    </w:p>
    <w:p w14:paraId="04877DF2" w14:textId="77777777" w:rsidR="00122063" w:rsidRDefault="00122063">
      <w:pPr>
        <w:pStyle w:val="PITextkrper"/>
        <w:rPr>
          <w:b/>
          <w:bCs/>
          <w:sz w:val="18"/>
          <w:szCs w:val="18"/>
        </w:rPr>
      </w:pPr>
    </w:p>
    <w:sectPr w:rsidR="00122063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2A0C" w14:textId="77777777" w:rsidR="00ED2359" w:rsidRDefault="00122063">
      <w:r>
        <w:separator/>
      </w:r>
    </w:p>
  </w:endnote>
  <w:endnote w:type="continuationSeparator" w:id="0">
    <w:p w14:paraId="52356970" w14:textId="77777777" w:rsidR="00ED2359" w:rsidRDefault="0012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AA38" w14:textId="0F5B515E" w:rsidR="00ED2359" w:rsidRDefault="00122063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A27ED9">
      <w:rPr>
        <w:rFonts w:ascii="Arial" w:hAnsi="Arial" w:cs="Arial"/>
        <w:noProof/>
        <w:snapToGrid w:val="0"/>
        <w:sz w:val="16"/>
        <w:szCs w:val="16"/>
        <w:lang w:val="en-US"/>
      </w:rPr>
      <w:t>WTH1PI894_it.docx</w:t>
    </w:r>
    <w:r>
      <w:rPr>
        <w:rFonts w:ascii="Arial" w:hAnsi="Arial" w:cs="Arial"/>
        <w:snapToGrid w:val="0"/>
        <w:sz w:val="16"/>
        <w:szCs w:val="16"/>
      </w:rPr>
      <w:fldChar w:fldCharType="end"/>
    </w:r>
    <w:r>
      <w:rPr>
        <w:rFonts w:ascii="Arial" w:hAnsi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B17E6" w14:textId="77777777" w:rsidR="00ED2359" w:rsidRDefault="00122063">
      <w:r>
        <w:separator/>
      </w:r>
    </w:p>
  </w:footnote>
  <w:footnote w:type="continuationSeparator" w:id="0">
    <w:p w14:paraId="64E4FF5D" w14:textId="77777777" w:rsidR="00ED2359" w:rsidRDefault="0012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8B81" w14:textId="77777777" w:rsidR="00ED2359" w:rsidRDefault="00122063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144A5CCD" wp14:editId="03D6DB40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59"/>
    <w:rsid w:val="00122063"/>
    <w:rsid w:val="00261CB1"/>
    <w:rsid w:val="0027263B"/>
    <w:rsid w:val="00364D94"/>
    <w:rsid w:val="00A27ED9"/>
    <w:rsid w:val="00B72DB3"/>
    <w:rsid w:val="00DB38E8"/>
    <w:rsid w:val="00E55AFB"/>
    <w:rsid w:val="00E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859B4DB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en/WE-HC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421-BB89-4F1F-8017-19E4038D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3859</Characters>
  <Application>Microsoft Office Word</Application>
  <DocSecurity>0</DocSecurity>
  <Lines>107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4437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9</cp:revision>
  <cp:lastPrinted>2017-06-23T08:32:00Z</cp:lastPrinted>
  <dcterms:created xsi:type="dcterms:W3CDTF">2021-03-23T09:16:00Z</dcterms:created>
  <dcterms:modified xsi:type="dcterms:W3CDTF">2021-03-24T08:49:00Z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